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972" w:rsidRPr="00B97C9F" w:rsidRDefault="007E2972" w:rsidP="007E2972">
      <w:pPr>
        <w:jc w:val="right"/>
      </w:pPr>
    </w:p>
    <w:p w:rsidR="007E2972" w:rsidRPr="00B97C9F" w:rsidRDefault="007E2972" w:rsidP="007E2972">
      <w:pPr>
        <w:jc w:val="center"/>
        <w:rPr>
          <w:b/>
        </w:rPr>
      </w:pPr>
      <w:r w:rsidRPr="00B97C9F">
        <w:rPr>
          <w:b/>
        </w:rPr>
        <w:t>ИЗВЕЩЕНИЕ О ПРОВЕДЕНИИ</w:t>
      </w:r>
    </w:p>
    <w:p w:rsidR="007E2972" w:rsidRPr="00B97C9F" w:rsidRDefault="007E2972" w:rsidP="007E2972">
      <w:pPr>
        <w:jc w:val="center"/>
        <w:rPr>
          <w:b/>
        </w:rPr>
      </w:pPr>
      <w:r w:rsidRPr="00B97C9F">
        <w:rPr>
          <w:b/>
        </w:rPr>
        <w:t xml:space="preserve">аукциона </w:t>
      </w:r>
      <w:r>
        <w:rPr>
          <w:b/>
        </w:rPr>
        <w:t xml:space="preserve">в электронной форме </w:t>
      </w:r>
      <w:r w:rsidRPr="00371518">
        <w:rPr>
          <w:b/>
        </w:rPr>
        <w:t>с открытой формой подачи предложения о цене</w:t>
      </w:r>
      <w:r w:rsidRPr="005F044F">
        <w:t xml:space="preserve"> </w:t>
      </w:r>
      <w:r w:rsidRPr="00B97C9F">
        <w:rPr>
          <w:b/>
        </w:rPr>
        <w:t xml:space="preserve">на </w:t>
      </w:r>
      <w:r>
        <w:rPr>
          <w:b/>
        </w:rPr>
        <w:t>право заключения договора аренды</w:t>
      </w:r>
      <w:r w:rsidRPr="00B97C9F">
        <w:rPr>
          <w:b/>
        </w:rPr>
        <w:t xml:space="preserve"> земельн</w:t>
      </w:r>
      <w:r>
        <w:rPr>
          <w:b/>
        </w:rPr>
        <w:t>ого</w:t>
      </w:r>
      <w:r w:rsidRPr="00B97C9F">
        <w:rPr>
          <w:b/>
        </w:rPr>
        <w:t xml:space="preserve"> участк</w:t>
      </w:r>
      <w:r>
        <w:rPr>
          <w:b/>
        </w:rPr>
        <w:t>а</w:t>
      </w:r>
      <w:r w:rsidRPr="009A0A4F">
        <w:rPr>
          <w:b/>
        </w:rPr>
        <w:t xml:space="preserve"> </w:t>
      </w:r>
    </w:p>
    <w:p w:rsidR="007E2972" w:rsidRDefault="007E2972" w:rsidP="007E2972">
      <w:pPr>
        <w:ind w:firstLine="708"/>
        <w:rPr>
          <w:b/>
        </w:rPr>
      </w:pPr>
    </w:p>
    <w:p w:rsidR="007E2972" w:rsidRPr="005F044F" w:rsidRDefault="007E2972" w:rsidP="007E2972">
      <w:pPr>
        <w:ind w:firstLine="708"/>
        <w:jc w:val="both"/>
      </w:pPr>
      <w:r w:rsidRPr="005F044F">
        <w:t xml:space="preserve">Отдел муниципального имущества и земельных ресурсов </w:t>
      </w:r>
      <w:r>
        <w:t>муниципального</w:t>
      </w:r>
      <w:r w:rsidRPr="005F044F">
        <w:t xml:space="preserve"> округа город Шахунья Нижегородской области сообщает </w:t>
      </w:r>
      <w:proofErr w:type="gramStart"/>
      <w:r w:rsidRPr="005F044F">
        <w:t>о проведении аукциона в электронной форме с открытой формой подачи предложения о цене на право</w:t>
      </w:r>
      <w:proofErr w:type="gramEnd"/>
      <w:r w:rsidRPr="005F044F">
        <w:t xml:space="preserve"> заключения договор</w:t>
      </w:r>
      <w:r>
        <w:t>а</w:t>
      </w:r>
      <w:r w:rsidRPr="005F044F">
        <w:t xml:space="preserve"> аренды земельн</w:t>
      </w:r>
      <w:r>
        <w:t>ого</w:t>
      </w:r>
      <w:r w:rsidRPr="005F044F">
        <w:t xml:space="preserve"> участк</w:t>
      </w:r>
      <w:r>
        <w:t>а</w:t>
      </w:r>
      <w:r w:rsidRPr="005F044F">
        <w:t>.</w:t>
      </w:r>
    </w:p>
    <w:p w:rsidR="007E2972" w:rsidRPr="005F044F" w:rsidRDefault="007E2972" w:rsidP="007E2972">
      <w:pPr>
        <w:ind w:firstLine="708"/>
        <w:jc w:val="both"/>
      </w:pPr>
    </w:p>
    <w:p w:rsidR="007E2972" w:rsidRPr="005F044F" w:rsidRDefault="007E2972" w:rsidP="007E2972">
      <w:pPr>
        <w:ind w:firstLine="708"/>
        <w:jc w:val="both"/>
      </w:pPr>
      <w:r w:rsidRPr="005F044F">
        <w:rPr>
          <w:b/>
          <w:bCs/>
        </w:rPr>
        <w:t>Форма торгов:</w:t>
      </w:r>
      <w:r w:rsidRPr="005F044F">
        <w:t xml:space="preserve"> аукцион в электронной форме </w:t>
      </w:r>
      <w:r>
        <w:t>с открытой формой подачи</w:t>
      </w:r>
      <w:r w:rsidRPr="005F044F">
        <w:t xml:space="preserve"> предложений о цене предмета аукциона.</w:t>
      </w:r>
    </w:p>
    <w:p w:rsidR="007E2972" w:rsidRPr="005F044F" w:rsidRDefault="007E2972" w:rsidP="007E2972">
      <w:pPr>
        <w:ind w:firstLine="708"/>
        <w:jc w:val="both"/>
      </w:pPr>
      <w:r w:rsidRPr="005F044F">
        <w:rPr>
          <w:b/>
          <w:bCs/>
        </w:rPr>
        <w:t>Организатор аукциона:</w:t>
      </w:r>
      <w:r w:rsidRPr="005F044F">
        <w:t xml:space="preserve"> Отдел муниципального </w:t>
      </w:r>
      <w:r>
        <w:t>имущества и земельных ресурсов муниципального</w:t>
      </w:r>
      <w:r w:rsidRPr="005F044F">
        <w:t xml:space="preserve"> округа город Шахунья Нижегородской области</w:t>
      </w:r>
    </w:p>
    <w:p w:rsidR="007E2972" w:rsidRPr="005F044F" w:rsidRDefault="007E2972" w:rsidP="007E2972">
      <w:pPr>
        <w:jc w:val="both"/>
      </w:pPr>
      <w:r w:rsidRPr="005F044F">
        <w:t>Местонахождение</w:t>
      </w:r>
      <w:r>
        <w:t>: 606910, Нижегородская область,</w:t>
      </w:r>
      <w:r w:rsidRPr="005F044F">
        <w:t xml:space="preserve"> г. Шахунья, пл. Советская,1. </w:t>
      </w:r>
    </w:p>
    <w:p w:rsidR="007E2972" w:rsidRPr="005F044F" w:rsidRDefault="007E2972" w:rsidP="007E2972">
      <w:pPr>
        <w:jc w:val="both"/>
      </w:pPr>
      <w:r w:rsidRPr="005F044F">
        <w:t>Телефоны для справок: 8(83152) 2-</w:t>
      </w:r>
      <w:r w:rsidRPr="00E803B4">
        <w:t>73-09</w:t>
      </w:r>
      <w:r w:rsidRPr="005F044F">
        <w:t xml:space="preserve">, 2-55-32 </w:t>
      </w:r>
    </w:p>
    <w:p w:rsidR="007E2972" w:rsidRPr="005F044F" w:rsidRDefault="007E2972" w:rsidP="007E2972">
      <w:pPr>
        <w:jc w:val="both"/>
      </w:pPr>
      <w:r w:rsidRPr="005F044F">
        <w:t xml:space="preserve">Электронная почта: </w:t>
      </w:r>
      <w:hyperlink r:id="rId6" w:history="1">
        <w:r w:rsidRPr="00A12674">
          <w:rPr>
            <w:rStyle w:val="a5"/>
          </w:rPr>
          <w:t>Kumishah@</w:t>
        </w:r>
        <w:r w:rsidRPr="00A12674">
          <w:rPr>
            <w:rStyle w:val="a5"/>
            <w:lang w:val="en-US"/>
          </w:rPr>
          <w:t>yandex</w:t>
        </w:r>
        <w:r w:rsidRPr="00A12674">
          <w:rPr>
            <w:rStyle w:val="a5"/>
          </w:rPr>
          <w:t>.</w:t>
        </w:r>
        <w:proofErr w:type="spellStart"/>
        <w:r w:rsidRPr="00A12674">
          <w:rPr>
            <w:rStyle w:val="a5"/>
          </w:rPr>
          <w:t>ru</w:t>
        </w:r>
        <w:proofErr w:type="spellEnd"/>
      </w:hyperlink>
      <w:r w:rsidRPr="005F044F">
        <w:t xml:space="preserve">. </w:t>
      </w:r>
    </w:p>
    <w:p w:rsidR="007E2972" w:rsidRPr="005F044F" w:rsidRDefault="007E2972" w:rsidP="007E2972">
      <w:pPr>
        <w:jc w:val="both"/>
      </w:pPr>
      <w:r w:rsidRPr="005F044F">
        <w:t xml:space="preserve">Контактное лицо: </w:t>
      </w:r>
      <w:r>
        <w:t>Захаров Александр Васильевич.</w:t>
      </w:r>
    </w:p>
    <w:p w:rsidR="007E2972" w:rsidRPr="005F044F" w:rsidRDefault="007E2972" w:rsidP="007E2972">
      <w:pPr>
        <w:ind w:firstLine="708"/>
        <w:jc w:val="both"/>
      </w:pPr>
      <w:r w:rsidRPr="005F044F">
        <w:rPr>
          <w:b/>
          <w:bCs/>
        </w:rPr>
        <w:t>Оператор электронной  площадки</w:t>
      </w:r>
      <w:r w:rsidRPr="005F044F">
        <w:t xml:space="preserve">  (далее-оператор) – АО «Электронные торговые системы» (</w:t>
      </w:r>
      <w:hyperlink r:id="rId7" w:history="1">
        <w:r w:rsidRPr="005F044F">
          <w:t>http://www.fabrikant.ru/</w:t>
        </w:r>
      </w:hyperlink>
      <w:r w:rsidRPr="005F044F">
        <w:t>).</w:t>
      </w:r>
    </w:p>
    <w:p w:rsidR="007E2972" w:rsidRPr="005F044F" w:rsidRDefault="007E2972" w:rsidP="007E2972">
      <w:pPr>
        <w:ind w:firstLine="708"/>
        <w:jc w:val="both"/>
      </w:pPr>
      <w:r w:rsidRPr="005F044F">
        <w:t>Аукцион в электронной форме с открытой формой подачи предложения о цене на право заключения договор</w:t>
      </w:r>
      <w:r>
        <w:t>а</w:t>
      </w:r>
      <w:r w:rsidRPr="005F044F">
        <w:t xml:space="preserve"> аренд</w:t>
      </w:r>
      <w:r>
        <w:t>ы</w:t>
      </w:r>
      <w:r w:rsidRPr="005F044F">
        <w:t xml:space="preserve"> земельн</w:t>
      </w:r>
      <w:r>
        <w:t>ого</w:t>
      </w:r>
      <w:r w:rsidRPr="005F044F">
        <w:t xml:space="preserve"> участк</w:t>
      </w:r>
      <w:r>
        <w:t>а</w:t>
      </w:r>
      <w:r w:rsidRPr="005F044F">
        <w:t xml:space="preserve"> проводится в порядке, установленном статьями </w:t>
      </w:r>
      <w:r w:rsidRPr="001C0C0E">
        <w:t xml:space="preserve">39.11, 39.12 и 39.13 </w:t>
      </w:r>
      <w:r w:rsidRPr="005F044F">
        <w:t>Земельного кодекса Российской Федерации.</w:t>
      </w:r>
    </w:p>
    <w:p w:rsidR="007E2972" w:rsidRPr="001C0C0E" w:rsidRDefault="007E2972" w:rsidP="007E2972">
      <w:pPr>
        <w:pStyle w:val="3"/>
        <w:ind w:firstLine="708"/>
        <w:jc w:val="both"/>
        <w:rPr>
          <w:rFonts w:ascii="Times New Roman" w:eastAsia="Times New Roman" w:hAnsi="Times New Roman" w:cs="Times New Roman"/>
          <w:b w:val="0"/>
          <w:bCs w:val="0"/>
          <w:spacing w:val="0"/>
          <w:sz w:val="24"/>
          <w:szCs w:val="24"/>
        </w:rPr>
      </w:pPr>
      <w:r w:rsidRPr="005F044F">
        <w:rPr>
          <w:rFonts w:ascii="Times New Roman" w:eastAsia="Times New Roman" w:hAnsi="Times New Roman" w:cs="Times New Roman"/>
          <w:b w:val="0"/>
          <w:bCs w:val="0"/>
          <w:spacing w:val="0"/>
          <w:sz w:val="24"/>
          <w:szCs w:val="24"/>
        </w:rPr>
        <w:t xml:space="preserve">Решение о проведении электронного аукциона принято постановлением администрации </w:t>
      </w:r>
      <w:r>
        <w:rPr>
          <w:rFonts w:ascii="Times New Roman" w:eastAsia="Times New Roman" w:hAnsi="Times New Roman" w:cs="Times New Roman"/>
          <w:b w:val="0"/>
          <w:bCs w:val="0"/>
          <w:spacing w:val="0"/>
          <w:sz w:val="24"/>
          <w:szCs w:val="24"/>
        </w:rPr>
        <w:t>муниципального</w:t>
      </w:r>
      <w:r w:rsidRPr="005F044F">
        <w:rPr>
          <w:rFonts w:ascii="Times New Roman" w:eastAsia="Times New Roman" w:hAnsi="Times New Roman" w:cs="Times New Roman"/>
          <w:b w:val="0"/>
          <w:bCs w:val="0"/>
          <w:spacing w:val="0"/>
          <w:sz w:val="24"/>
          <w:szCs w:val="24"/>
        </w:rPr>
        <w:t xml:space="preserve"> округа город Шахунья Нижегородской области «О проведен</w:t>
      </w:r>
      <w:proofErr w:type="gramStart"/>
      <w:r w:rsidRPr="005F044F">
        <w:rPr>
          <w:rFonts w:ascii="Times New Roman" w:eastAsia="Times New Roman" w:hAnsi="Times New Roman" w:cs="Times New Roman"/>
          <w:b w:val="0"/>
          <w:bCs w:val="0"/>
          <w:spacing w:val="0"/>
          <w:sz w:val="24"/>
          <w:szCs w:val="24"/>
        </w:rPr>
        <w:t>ии ау</w:t>
      </w:r>
      <w:proofErr w:type="gramEnd"/>
      <w:r w:rsidRPr="005F044F">
        <w:rPr>
          <w:rFonts w:ascii="Times New Roman" w:eastAsia="Times New Roman" w:hAnsi="Times New Roman" w:cs="Times New Roman"/>
          <w:b w:val="0"/>
          <w:bCs w:val="0"/>
          <w:spacing w:val="0"/>
          <w:sz w:val="24"/>
          <w:szCs w:val="24"/>
        </w:rPr>
        <w:t>кциона в электронной форме с открытой формой подачи предложения о цене на право заключения договор</w:t>
      </w:r>
      <w:r>
        <w:rPr>
          <w:rFonts w:ascii="Times New Roman" w:eastAsia="Times New Roman" w:hAnsi="Times New Roman" w:cs="Times New Roman"/>
          <w:b w:val="0"/>
          <w:bCs w:val="0"/>
          <w:spacing w:val="0"/>
          <w:sz w:val="24"/>
          <w:szCs w:val="24"/>
        </w:rPr>
        <w:t>а</w:t>
      </w:r>
      <w:r w:rsidRPr="005F044F">
        <w:rPr>
          <w:rFonts w:ascii="Times New Roman" w:eastAsia="Times New Roman" w:hAnsi="Times New Roman" w:cs="Times New Roman"/>
          <w:b w:val="0"/>
          <w:bCs w:val="0"/>
          <w:spacing w:val="0"/>
          <w:sz w:val="24"/>
          <w:szCs w:val="24"/>
        </w:rPr>
        <w:t xml:space="preserve"> аренды земельн</w:t>
      </w:r>
      <w:r>
        <w:rPr>
          <w:rFonts w:ascii="Times New Roman" w:eastAsia="Times New Roman" w:hAnsi="Times New Roman" w:cs="Times New Roman"/>
          <w:b w:val="0"/>
          <w:bCs w:val="0"/>
          <w:spacing w:val="0"/>
          <w:sz w:val="24"/>
          <w:szCs w:val="24"/>
        </w:rPr>
        <w:t>ого</w:t>
      </w:r>
      <w:r w:rsidRPr="005F044F">
        <w:rPr>
          <w:rFonts w:ascii="Times New Roman" w:eastAsia="Times New Roman" w:hAnsi="Times New Roman" w:cs="Times New Roman"/>
          <w:b w:val="0"/>
          <w:bCs w:val="0"/>
          <w:spacing w:val="0"/>
          <w:sz w:val="24"/>
          <w:szCs w:val="24"/>
        </w:rPr>
        <w:t xml:space="preserve"> участк</w:t>
      </w:r>
      <w:r>
        <w:rPr>
          <w:rFonts w:ascii="Times New Roman" w:eastAsia="Times New Roman" w:hAnsi="Times New Roman" w:cs="Times New Roman"/>
          <w:b w:val="0"/>
          <w:bCs w:val="0"/>
          <w:spacing w:val="0"/>
          <w:sz w:val="24"/>
          <w:szCs w:val="24"/>
        </w:rPr>
        <w:t>а</w:t>
      </w:r>
      <w:r w:rsidRPr="005F044F">
        <w:rPr>
          <w:rFonts w:ascii="Times New Roman" w:eastAsia="Times New Roman" w:hAnsi="Times New Roman" w:cs="Times New Roman"/>
          <w:b w:val="0"/>
          <w:bCs w:val="0"/>
          <w:spacing w:val="0"/>
          <w:sz w:val="24"/>
          <w:szCs w:val="24"/>
        </w:rPr>
        <w:t>» от «</w:t>
      </w:r>
      <w:r>
        <w:rPr>
          <w:rFonts w:ascii="Times New Roman" w:eastAsia="Times New Roman" w:hAnsi="Times New Roman" w:cs="Times New Roman"/>
          <w:b w:val="0"/>
          <w:bCs w:val="0"/>
          <w:spacing w:val="0"/>
          <w:sz w:val="24"/>
          <w:szCs w:val="24"/>
        </w:rPr>
        <w:t>29</w:t>
      </w:r>
      <w:r w:rsidRPr="001C0C0E">
        <w:rPr>
          <w:rFonts w:ascii="Times New Roman" w:eastAsia="Times New Roman" w:hAnsi="Times New Roman" w:cs="Times New Roman"/>
          <w:b w:val="0"/>
          <w:bCs w:val="0"/>
          <w:spacing w:val="0"/>
          <w:sz w:val="24"/>
          <w:szCs w:val="24"/>
        </w:rPr>
        <w:t xml:space="preserve">» </w:t>
      </w:r>
      <w:r>
        <w:rPr>
          <w:rFonts w:ascii="Times New Roman" w:eastAsia="Times New Roman" w:hAnsi="Times New Roman" w:cs="Times New Roman"/>
          <w:b w:val="0"/>
          <w:bCs w:val="0"/>
          <w:spacing w:val="0"/>
          <w:sz w:val="24"/>
          <w:szCs w:val="24"/>
        </w:rPr>
        <w:t xml:space="preserve"> апреля </w:t>
      </w:r>
      <w:r w:rsidRPr="001C0C0E">
        <w:rPr>
          <w:rFonts w:ascii="Times New Roman" w:eastAsia="Times New Roman" w:hAnsi="Times New Roman" w:cs="Times New Roman"/>
          <w:b w:val="0"/>
          <w:bCs w:val="0"/>
          <w:spacing w:val="0"/>
          <w:sz w:val="24"/>
          <w:szCs w:val="24"/>
        </w:rPr>
        <w:t>202</w:t>
      </w:r>
      <w:r>
        <w:rPr>
          <w:rFonts w:ascii="Times New Roman" w:eastAsia="Times New Roman" w:hAnsi="Times New Roman" w:cs="Times New Roman"/>
          <w:b w:val="0"/>
          <w:bCs w:val="0"/>
          <w:spacing w:val="0"/>
          <w:sz w:val="24"/>
          <w:szCs w:val="24"/>
        </w:rPr>
        <w:t>6</w:t>
      </w:r>
      <w:r w:rsidRPr="001C0C0E">
        <w:rPr>
          <w:rFonts w:ascii="Times New Roman" w:eastAsia="Times New Roman" w:hAnsi="Times New Roman" w:cs="Times New Roman"/>
          <w:b w:val="0"/>
          <w:bCs w:val="0"/>
          <w:spacing w:val="0"/>
          <w:sz w:val="24"/>
          <w:szCs w:val="24"/>
        </w:rPr>
        <w:t xml:space="preserve"> года № </w:t>
      </w:r>
      <w:r>
        <w:rPr>
          <w:rFonts w:ascii="Times New Roman" w:eastAsia="Times New Roman" w:hAnsi="Times New Roman" w:cs="Times New Roman"/>
          <w:b w:val="0"/>
          <w:bCs w:val="0"/>
          <w:spacing w:val="0"/>
          <w:sz w:val="24"/>
          <w:szCs w:val="24"/>
        </w:rPr>
        <w:t>388</w:t>
      </w:r>
      <w:r w:rsidRPr="001C0C0E">
        <w:rPr>
          <w:rFonts w:ascii="Times New Roman" w:eastAsia="Times New Roman" w:hAnsi="Times New Roman" w:cs="Times New Roman"/>
          <w:b w:val="0"/>
          <w:bCs w:val="0"/>
          <w:spacing w:val="0"/>
          <w:sz w:val="24"/>
          <w:szCs w:val="24"/>
        </w:rPr>
        <w:t>.</w:t>
      </w:r>
    </w:p>
    <w:p w:rsidR="007E2972" w:rsidRPr="005F044F" w:rsidRDefault="007E2972" w:rsidP="007E2972">
      <w:pPr>
        <w:jc w:val="both"/>
      </w:pPr>
    </w:p>
    <w:p w:rsidR="007E2972" w:rsidRPr="005F044F" w:rsidRDefault="007E2972" w:rsidP="007E2972">
      <w:pPr>
        <w:numPr>
          <w:ilvl w:val="0"/>
          <w:numId w:val="1"/>
        </w:numPr>
        <w:jc w:val="center"/>
      </w:pPr>
      <w:r w:rsidRPr="005F044F">
        <w:t>Предмет аукциона.</w:t>
      </w:r>
    </w:p>
    <w:p w:rsidR="007E2972" w:rsidRPr="005F044F" w:rsidRDefault="007E2972" w:rsidP="007E2972">
      <w:pPr>
        <w:ind w:left="360"/>
      </w:pPr>
      <w:r w:rsidRPr="005F044F">
        <w:t>Предметом аукциона является право на заключение договор</w:t>
      </w:r>
      <w:r>
        <w:t>а</w:t>
      </w:r>
      <w:r w:rsidRPr="005F044F">
        <w:t xml:space="preserve"> аренды земельн</w:t>
      </w:r>
      <w:r>
        <w:t>ого</w:t>
      </w:r>
      <w:r w:rsidRPr="005F044F">
        <w:t xml:space="preserve"> участк</w:t>
      </w:r>
      <w:r>
        <w:t>а</w:t>
      </w:r>
      <w:r w:rsidRPr="005F044F">
        <w:t>.</w:t>
      </w:r>
    </w:p>
    <w:p w:rsidR="007E2972" w:rsidRPr="005F044F" w:rsidRDefault="007E2972" w:rsidP="007E2972">
      <w:pPr>
        <w:jc w:val="center"/>
      </w:pPr>
    </w:p>
    <w:p w:rsidR="007E2972" w:rsidRPr="006A36ED" w:rsidRDefault="007E2972" w:rsidP="007E2972">
      <w:pPr>
        <w:rPr>
          <w:b/>
          <w:bCs/>
          <w:u w:val="single"/>
        </w:rPr>
      </w:pPr>
      <w:r w:rsidRPr="006A36ED">
        <w:rPr>
          <w:b/>
          <w:bCs/>
          <w:u w:val="single"/>
        </w:rPr>
        <w:t>ЛОТ № 1</w:t>
      </w:r>
    </w:p>
    <w:p w:rsidR="007E2972" w:rsidRPr="005F044F" w:rsidRDefault="007E2972" w:rsidP="007E2972">
      <w:pPr>
        <w:jc w:val="both"/>
      </w:pPr>
      <w:r w:rsidRPr="005F044F">
        <w:t xml:space="preserve">Местоположение земельного участка: Российская Федерация, Нижегородская область, </w:t>
      </w:r>
      <w:r>
        <w:t>муниципальный округ город Шахунья, город Шахунья, улица Тургенева,</w:t>
      </w:r>
      <w:r w:rsidRPr="005F044F">
        <w:t xml:space="preserve"> </w:t>
      </w:r>
      <w:r>
        <w:t>у дома № 52</w:t>
      </w:r>
      <w:r w:rsidRPr="005F044F">
        <w:t>.</w:t>
      </w:r>
    </w:p>
    <w:p w:rsidR="007E2972" w:rsidRPr="005F044F" w:rsidRDefault="007E2972" w:rsidP="007E2972">
      <w:pPr>
        <w:jc w:val="both"/>
      </w:pPr>
      <w:r w:rsidRPr="005F044F">
        <w:t>Кадастровый номер 52:03:01200</w:t>
      </w:r>
      <w:r>
        <w:t>08</w:t>
      </w:r>
      <w:r w:rsidRPr="005F044F">
        <w:t>:</w:t>
      </w:r>
      <w:r>
        <w:t>1195</w:t>
      </w:r>
      <w:r w:rsidRPr="005F044F">
        <w:t>.</w:t>
      </w:r>
    </w:p>
    <w:p w:rsidR="007E2972" w:rsidRPr="005F044F" w:rsidRDefault="007E2972" w:rsidP="007E2972">
      <w:pPr>
        <w:jc w:val="both"/>
      </w:pPr>
      <w:r w:rsidRPr="005F044F">
        <w:t>Категория земель -  земли населенных пунктов.</w:t>
      </w:r>
    </w:p>
    <w:p w:rsidR="007E2972" w:rsidRDefault="007E2972" w:rsidP="007E2972">
      <w:pPr>
        <w:jc w:val="both"/>
      </w:pPr>
      <w:r w:rsidRPr="005F044F">
        <w:t xml:space="preserve">Площадь земельного участка: </w:t>
      </w:r>
      <w:r>
        <w:t>699+/-9</w:t>
      </w:r>
      <w:r w:rsidRPr="005F044F">
        <w:t xml:space="preserve"> </w:t>
      </w:r>
      <w:proofErr w:type="spellStart"/>
      <w:r w:rsidRPr="005F044F">
        <w:t>кв.м</w:t>
      </w:r>
      <w:proofErr w:type="spellEnd"/>
      <w:r w:rsidRPr="005F044F">
        <w:t>.</w:t>
      </w:r>
    </w:p>
    <w:p w:rsidR="007E2972" w:rsidRDefault="007E2972" w:rsidP="007E2972">
      <w:pPr>
        <w:jc w:val="both"/>
      </w:pPr>
      <w:r>
        <w:t xml:space="preserve">Вид разрешенного использования – служебные гаражи. </w:t>
      </w:r>
    </w:p>
    <w:p w:rsidR="007E2972" w:rsidRPr="001E2C33" w:rsidRDefault="007E2972" w:rsidP="007E2972">
      <w:pPr>
        <w:jc w:val="both"/>
      </w:pPr>
      <w:r w:rsidRPr="001E2C33">
        <w:t>В соответствии с Генеральным планом городского округа город Шахунья Нижегородской области и Правилами землепользования и застройки муниципального округа город Шахунья Нижегородской области, земельный участок расположен в зоне ПК – коммунально-складская зона.</w:t>
      </w:r>
    </w:p>
    <w:p w:rsidR="007E2972" w:rsidRPr="00F05C5C" w:rsidRDefault="007E2972" w:rsidP="007E2972">
      <w:pPr>
        <w:keepNext/>
        <w:tabs>
          <w:tab w:val="left" w:pos="1134"/>
          <w:tab w:val="left" w:pos="1276"/>
        </w:tabs>
        <w:spacing w:before="120" w:after="120" w:line="360" w:lineRule="auto"/>
        <w:jc w:val="both"/>
        <w:outlineLvl w:val="1"/>
        <w:rPr>
          <w:b/>
          <w:bCs/>
          <w:color w:val="000000"/>
          <w:lang w:val="x-none" w:eastAsia="x-none"/>
        </w:rPr>
      </w:pPr>
      <w:r w:rsidRPr="00F05C5C">
        <w:rPr>
          <w:b/>
          <w:bCs/>
          <w:color w:val="000000"/>
          <w:lang w:val="x-none" w:eastAsia="x-none"/>
        </w:rPr>
        <w:lastRenderedPageBreak/>
        <w:t>ПК. Коммунально-складская зона</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52"/>
        <w:gridCol w:w="2152"/>
        <w:gridCol w:w="667"/>
        <w:gridCol w:w="541"/>
        <w:gridCol w:w="540"/>
        <w:gridCol w:w="630"/>
        <w:gridCol w:w="630"/>
        <w:gridCol w:w="541"/>
        <w:gridCol w:w="900"/>
        <w:gridCol w:w="1981"/>
      </w:tblGrid>
      <w:tr w:rsidR="007E2972" w:rsidRPr="00F05C5C" w:rsidTr="00454A88">
        <w:trPr>
          <w:trHeight w:val="20"/>
          <w:tblHeader/>
        </w:trPr>
        <w:tc>
          <w:tcPr>
            <w:tcW w:w="546" w:type="pct"/>
            <w:vMerge w:val="restart"/>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Наименование вида разрешенного использования земельного участка</w:t>
            </w:r>
          </w:p>
        </w:tc>
        <w:tc>
          <w:tcPr>
            <w:tcW w:w="1117" w:type="pct"/>
            <w:vMerge w:val="restart"/>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Описание вида разрешенного использования земельного участка</w:t>
            </w:r>
          </w:p>
        </w:tc>
        <w:tc>
          <w:tcPr>
            <w:tcW w:w="346" w:type="pct"/>
            <w:vMerge w:val="restart"/>
            <w:textDirection w:val="btLr"/>
            <w:vAlign w:val="center"/>
          </w:tcPr>
          <w:p w:rsidR="007E2972" w:rsidRPr="00F05C5C" w:rsidRDefault="007E2972" w:rsidP="00454A88">
            <w:pPr>
              <w:widowControl w:val="0"/>
              <w:ind w:left="113" w:right="113"/>
              <w:jc w:val="center"/>
              <w:rPr>
                <w:b/>
                <w:bCs/>
                <w:color w:val="000000"/>
                <w:sz w:val="20"/>
                <w:szCs w:val="20"/>
              </w:rPr>
            </w:pPr>
            <w:r w:rsidRPr="00F05C5C">
              <w:rPr>
                <w:b/>
                <w:bCs/>
                <w:color w:val="000000"/>
                <w:sz w:val="20"/>
                <w:szCs w:val="20"/>
              </w:rPr>
              <w:t>Код (числовое обозначение ВРИ земельного участка согласно классификатору)</w:t>
            </w:r>
          </w:p>
        </w:tc>
        <w:tc>
          <w:tcPr>
            <w:tcW w:w="561" w:type="pct"/>
            <w:gridSpan w:val="2"/>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Предельные (минимальные и (или) максимальные) размеры земельных участков</w:t>
            </w:r>
          </w:p>
        </w:tc>
        <w:tc>
          <w:tcPr>
            <w:tcW w:w="654" w:type="pct"/>
            <w:gridSpan w:val="2"/>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Предельное количество этажей/</w:t>
            </w:r>
            <w:r w:rsidRPr="00F05C5C">
              <w:rPr>
                <w:b/>
                <w:bCs/>
                <w:color w:val="000000"/>
                <w:sz w:val="20"/>
                <w:szCs w:val="20"/>
              </w:rPr>
              <w:br/>
              <w:t>высота</w:t>
            </w:r>
          </w:p>
        </w:tc>
        <w:tc>
          <w:tcPr>
            <w:tcW w:w="281" w:type="pct"/>
            <w:vMerge w:val="restart"/>
            <w:textDirection w:val="btLr"/>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Максимальный процент застройки, %</w:t>
            </w:r>
          </w:p>
        </w:tc>
        <w:tc>
          <w:tcPr>
            <w:tcW w:w="467" w:type="pct"/>
            <w:vMerge w:val="restart"/>
            <w:textDirection w:val="btLr"/>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 xml:space="preserve">Минимальные отступы от границ земельного участка, </w:t>
            </w:r>
            <w:proofErr w:type="gramStart"/>
            <w:r w:rsidRPr="00F05C5C">
              <w:rPr>
                <w:b/>
                <w:bCs/>
                <w:color w:val="000000"/>
                <w:sz w:val="20"/>
                <w:szCs w:val="20"/>
              </w:rPr>
              <w:t>м</w:t>
            </w:r>
            <w:proofErr w:type="gramEnd"/>
          </w:p>
        </w:tc>
        <w:tc>
          <w:tcPr>
            <w:tcW w:w="1028" w:type="pct"/>
            <w:vMerge w:val="restart"/>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Иные параметры разрешенного строительства, реконструкции объектов капитального строительства</w:t>
            </w:r>
          </w:p>
        </w:tc>
      </w:tr>
      <w:tr w:rsidR="007E2972" w:rsidRPr="00F05C5C" w:rsidTr="00454A88">
        <w:trPr>
          <w:cantSplit/>
          <w:trHeight w:val="1775"/>
          <w:tblHeader/>
        </w:trPr>
        <w:tc>
          <w:tcPr>
            <w:tcW w:w="546" w:type="pct"/>
            <w:vMerge/>
            <w:vAlign w:val="center"/>
          </w:tcPr>
          <w:p w:rsidR="007E2972" w:rsidRPr="00F05C5C" w:rsidRDefault="007E2972" w:rsidP="00454A88">
            <w:pPr>
              <w:widowControl w:val="0"/>
              <w:jc w:val="center"/>
              <w:rPr>
                <w:b/>
                <w:bCs/>
                <w:color w:val="000000"/>
                <w:sz w:val="20"/>
                <w:szCs w:val="20"/>
              </w:rPr>
            </w:pPr>
          </w:p>
        </w:tc>
        <w:tc>
          <w:tcPr>
            <w:tcW w:w="1117" w:type="pct"/>
            <w:vMerge/>
            <w:vAlign w:val="center"/>
          </w:tcPr>
          <w:p w:rsidR="007E2972" w:rsidRPr="00F05C5C" w:rsidRDefault="007E2972" w:rsidP="00454A88">
            <w:pPr>
              <w:widowControl w:val="0"/>
              <w:jc w:val="center"/>
              <w:rPr>
                <w:b/>
                <w:bCs/>
                <w:color w:val="000000"/>
                <w:sz w:val="20"/>
                <w:szCs w:val="20"/>
              </w:rPr>
            </w:pPr>
          </w:p>
        </w:tc>
        <w:tc>
          <w:tcPr>
            <w:tcW w:w="346" w:type="pct"/>
            <w:vMerge/>
            <w:vAlign w:val="center"/>
          </w:tcPr>
          <w:p w:rsidR="007E2972" w:rsidRPr="00F05C5C" w:rsidRDefault="007E2972" w:rsidP="00454A88">
            <w:pPr>
              <w:widowControl w:val="0"/>
              <w:jc w:val="center"/>
              <w:rPr>
                <w:b/>
                <w:bCs/>
                <w:color w:val="000000"/>
                <w:sz w:val="20"/>
                <w:szCs w:val="20"/>
              </w:rPr>
            </w:pPr>
          </w:p>
        </w:tc>
        <w:tc>
          <w:tcPr>
            <w:tcW w:w="281" w:type="pct"/>
            <w:vAlign w:val="center"/>
          </w:tcPr>
          <w:p w:rsidR="007E2972" w:rsidRPr="00F05C5C" w:rsidRDefault="007E2972" w:rsidP="00454A88">
            <w:pPr>
              <w:widowControl w:val="0"/>
              <w:jc w:val="center"/>
              <w:rPr>
                <w:b/>
                <w:bCs/>
                <w:color w:val="000000"/>
                <w:sz w:val="20"/>
                <w:szCs w:val="20"/>
              </w:rPr>
            </w:pPr>
            <w:proofErr w:type="spellStart"/>
            <w:r w:rsidRPr="00F05C5C">
              <w:rPr>
                <w:b/>
                <w:bCs/>
                <w:color w:val="000000"/>
                <w:sz w:val="20"/>
                <w:szCs w:val="20"/>
              </w:rPr>
              <w:t>Smin</w:t>
            </w:r>
            <w:proofErr w:type="spellEnd"/>
            <w:r w:rsidRPr="00F05C5C">
              <w:rPr>
                <w:b/>
                <w:bCs/>
                <w:color w:val="000000"/>
                <w:sz w:val="20"/>
                <w:szCs w:val="20"/>
              </w:rPr>
              <w:t xml:space="preserve">, </w:t>
            </w:r>
            <w:proofErr w:type="spellStart"/>
            <w:r w:rsidRPr="00F05C5C">
              <w:rPr>
                <w:b/>
                <w:bCs/>
                <w:color w:val="000000"/>
                <w:sz w:val="20"/>
                <w:szCs w:val="20"/>
              </w:rPr>
              <w:t>кв.м</w:t>
            </w:r>
            <w:proofErr w:type="spellEnd"/>
            <w:r w:rsidRPr="00F05C5C">
              <w:rPr>
                <w:b/>
                <w:bCs/>
                <w:color w:val="000000"/>
                <w:sz w:val="20"/>
                <w:szCs w:val="20"/>
              </w:rPr>
              <w:t>.</w:t>
            </w:r>
          </w:p>
        </w:tc>
        <w:tc>
          <w:tcPr>
            <w:tcW w:w="280" w:type="pct"/>
            <w:vAlign w:val="center"/>
          </w:tcPr>
          <w:p w:rsidR="007E2972" w:rsidRPr="00F05C5C" w:rsidRDefault="007E2972" w:rsidP="00454A88">
            <w:pPr>
              <w:widowControl w:val="0"/>
              <w:jc w:val="center"/>
              <w:rPr>
                <w:b/>
                <w:bCs/>
                <w:color w:val="000000"/>
                <w:sz w:val="20"/>
                <w:szCs w:val="20"/>
              </w:rPr>
            </w:pPr>
            <w:proofErr w:type="spellStart"/>
            <w:r w:rsidRPr="00F05C5C">
              <w:rPr>
                <w:b/>
                <w:bCs/>
                <w:color w:val="000000"/>
                <w:sz w:val="20"/>
                <w:szCs w:val="20"/>
              </w:rPr>
              <w:t>Smax</w:t>
            </w:r>
            <w:proofErr w:type="spellEnd"/>
            <w:r w:rsidRPr="00F05C5C">
              <w:rPr>
                <w:b/>
                <w:bCs/>
                <w:color w:val="000000"/>
                <w:sz w:val="20"/>
                <w:szCs w:val="20"/>
              </w:rPr>
              <w:t xml:space="preserve">, </w:t>
            </w:r>
            <w:proofErr w:type="spellStart"/>
            <w:r w:rsidRPr="00F05C5C">
              <w:rPr>
                <w:b/>
                <w:bCs/>
                <w:color w:val="000000"/>
                <w:sz w:val="20"/>
                <w:szCs w:val="20"/>
              </w:rPr>
              <w:t>кв.м</w:t>
            </w:r>
            <w:proofErr w:type="spellEnd"/>
            <w:r w:rsidRPr="00F05C5C">
              <w:rPr>
                <w:b/>
                <w:bCs/>
                <w:color w:val="000000"/>
                <w:sz w:val="20"/>
                <w:szCs w:val="20"/>
              </w:rPr>
              <w:t>.</w:t>
            </w:r>
          </w:p>
        </w:tc>
        <w:tc>
          <w:tcPr>
            <w:tcW w:w="327" w:type="pct"/>
            <w:textDirection w:val="btLr"/>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этажность</w:t>
            </w:r>
          </w:p>
        </w:tc>
        <w:tc>
          <w:tcPr>
            <w:tcW w:w="327" w:type="pct"/>
            <w:textDirection w:val="btLr"/>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 xml:space="preserve">высота, </w:t>
            </w:r>
            <w:proofErr w:type="gramStart"/>
            <w:r w:rsidRPr="00F05C5C">
              <w:rPr>
                <w:b/>
                <w:bCs/>
                <w:color w:val="000000"/>
                <w:sz w:val="20"/>
                <w:szCs w:val="20"/>
              </w:rPr>
              <w:t>м</w:t>
            </w:r>
            <w:proofErr w:type="gramEnd"/>
          </w:p>
        </w:tc>
        <w:tc>
          <w:tcPr>
            <w:tcW w:w="281" w:type="pct"/>
            <w:vMerge/>
            <w:vAlign w:val="center"/>
          </w:tcPr>
          <w:p w:rsidR="007E2972" w:rsidRPr="00F05C5C" w:rsidRDefault="007E2972" w:rsidP="00454A88">
            <w:pPr>
              <w:widowControl w:val="0"/>
              <w:jc w:val="center"/>
              <w:rPr>
                <w:b/>
                <w:bCs/>
                <w:color w:val="000000"/>
                <w:sz w:val="20"/>
                <w:szCs w:val="20"/>
              </w:rPr>
            </w:pPr>
          </w:p>
        </w:tc>
        <w:tc>
          <w:tcPr>
            <w:tcW w:w="467" w:type="pct"/>
            <w:vMerge/>
            <w:vAlign w:val="center"/>
          </w:tcPr>
          <w:p w:rsidR="007E2972" w:rsidRPr="00F05C5C" w:rsidRDefault="007E2972" w:rsidP="00454A88">
            <w:pPr>
              <w:widowControl w:val="0"/>
              <w:jc w:val="center"/>
              <w:rPr>
                <w:b/>
                <w:bCs/>
                <w:color w:val="000000"/>
                <w:sz w:val="20"/>
                <w:szCs w:val="20"/>
              </w:rPr>
            </w:pPr>
          </w:p>
        </w:tc>
        <w:tc>
          <w:tcPr>
            <w:tcW w:w="1028" w:type="pct"/>
            <w:vMerge/>
            <w:vAlign w:val="center"/>
          </w:tcPr>
          <w:p w:rsidR="007E2972" w:rsidRPr="00F05C5C" w:rsidRDefault="007E2972" w:rsidP="00454A88">
            <w:pPr>
              <w:widowControl w:val="0"/>
              <w:jc w:val="center"/>
              <w:rPr>
                <w:b/>
                <w:bCs/>
                <w:color w:val="000000"/>
                <w:sz w:val="20"/>
                <w:szCs w:val="20"/>
              </w:rPr>
            </w:pPr>
          </w:p>
        </w:tc>
      </w:tr>
      <w:tr w:rsidR="007E2972" w:rsidRPr="00F05C5C" w:rsidTr="00454A88">
        <w:trPr>
          <w:cantSplit/>
          <w:trHeight w:val="20"/>
          <w:tblHeader/>
        </w:trPr>
        <w:tc>
          <w:tcPr>
            <w:tcW w:w="546" w:type="pct"/>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1</w:t>
            </w:r>
          </w:p>
        </w:tc>
        <w:tc>
          <w:tcPr>
            <w:tcW w:w="1117" w:type="pct"/>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2</w:t>
            </w:r>
          </w:p>
        </w:tc>
        <w:tc>
          <w:tcPr>
            <w:tcW w:w="346" w:type="pct"/>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3</w:t>
            </w:r>
          </w:p>
        </w:tc>
        <w:tc>
          <w:tcPr>
            <w:tcW w:w="281" w:type="pct"/>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4</w:t>
            </w:r>
          </w:p>
        </w:tc>
        <w:tc>
          <w:tcPr>
            <w:tcW w:w="280" w:type="pct"/>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5</w:t>
            </w:r>
          </w:p>
        </w:tc>
        <w:tc>
          <w:tcPr>
            <w:tcW w:w="327" w:type="pct"/>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6</w:t>
            </w:r>
          </w:p>
        </w:tc>
        <w:tc>
          <w:tcPr>
            <w:tcW w:w="327" w:type="pct"/>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7</w:t>
            </w:r>
          </w:p>
        </w:tc>
        <w:tc>
          <w:tcPr>
            <w:tcW w:w="281" w:type="pct"/>
            <w:vAlign w:val="center"/>
          </w:tcPr>
          <w:p w:rsidR="007E2972" w:rsidRPr="00F05C5C" w:rsidRDefault="007E2972" w:rsidP="00454A88">
            <w:pPr>
              <w:widowControl w:val="0"/>
              <w:jc w:val="center"/>
              <w:rPr>
                <w:b/>
                <w:bCs/>
                <w:color w:val="000000"/>
                <w:sz w:val="20"/>
                <w:szCs w:val="20"/>
              </w:rPr>
            </w:pPr>
            <w:r w:rsidRPr="00F05C5C">
              <w:rPr>
                <w:b/>
                <w:bCs/>
                <w:color w:val="000000"/>
                <w:sz w:val="20"/>
                <w:szCs w:val="20"/>
              </w:rPr>
              <w:t>8</w:t>
            </w:r>
          </w:p>
        </w:tc>
        <w:tc>
          <w:tcPr>
            <w:tcW w:w="467" w:type="pct"/>
          </w:tcPr>
          <w:p w:rsidR="007E2972" w:rsidRPr="00F05C5C" w:rsidRDefault="007E2972" w:rsidP="00454A88">
            <w:pPr>
              <w:contextualSpacing/>
              <w:jc w:val="center"/>
              <w:rPr>
                <w:b/>
                <w:bCs/>
                <w:color w:val="000000"/>
                <w:sz w:val="20"/>
                <w:szCs w:val="20"/>
              </w:rPr>
            </w:pPr>
            <w:r w:rsidRPr="00F05C5C">
              <w:rPr>
                <w:b/>
                <w:bCs/>
                <w:color w:val="000000"/>
                <w:sz w:val="20"/>
                <w:szCs w:val="20"/>
              </w:rPr>
              <w:t>9</w:t>
            </w:r>
          </w:p>
        </w:tc>
        <w:tc>
          <w:tcPr>
            <w:tcW w:w="1028" w:type="pct"/>
            <w:vAlign w:val="center"/>
          </w:tcPr>
          <w:p w:rsidR="007E2972" w:rsidRPr="00F05C5C" w:rsidRDefault="007E2972" w:rsidP="00454A88">
            <w:pPr>
              <w:contextualSpacing/>
              <w:jc w:val="center"/>
              <w:rPr>
                <w:b/>
                <w:bCs/>
                <w:color w:val="000000"/>
                <w:sz w:val="20"/>
                <w:szCs w:val="20"/>
              </w:rPr>
            </w:pPr>
            <w:r w:rsidRPr="00F05C5C">
              <w:rPr>
                <w:b/>
                <w:bCs/>
                <w:color w:val="000000"/>
                <w:sz w:val="20"/>
                <w:szCs w:val="20"/>
              </w:rPr>
              <w:t>10</w:t>
            </w:r>
          </w:p>
        </w:tc>
      </w:tr>
      <w:tr w:rsidR="007E2972" w:rsidRPr="00F05C5C" w:rsidTr="00454A88">
        <w:trPr>
          <w:cantSplit/>
          <w:trHeight w:val="20"/>
        </w:trPr>
        <w:tc>
          <w:tcPr>
            <w:tcW w:w="5000" w:type="pct"/>
            <w:gridSpan w:val="10"/>
          </w:tcPr>
          <w:p w:rsidR="007E2972" w:rsidRPr="00F05C5C" w:rsidRDefault="007E2972" w:rsidP="00454A88">
            <w:pPr>
              <w:widowControl w:val="0"/>
              <w:jc w:val="center"/>
              <w:rPr>
                <w:b/>
                <w:bCs/>
                <w:color w:val="000000"/>
                <w:sz w:val="20"/>
                <w:szCs w:val="20"/>
              </w:rPr>
            </w:pPr>
            <w:r w:rsidRPr="00F05C5C">
              <w:rPr>
                <w:b/>
                <w:bCs/>
                <w:color w:val="000000"/>
                <w:sz w:val="20"/>
                <w:szCs w:val="20"/>
              </w:rPr>
              <w:t>Основные виды разрешенного использования</w:t>
            </w:r>
          </w:p>
        </w:tc>
      </w:tr>
      <w:tr w:rsidR="007E2972" w:rsidRPr="00F05C5C" w:rsidTr="00454A88">
        <w:trPr>
          <w:trHeight w:val="20"/>
        </w:trPr>
        <w:tc>
          <w:tcPr>
            <w:tcW w:w="546" w:type="pct"/>
          </w:tcPr>
          <w:p w:rsidR="007E2972" w:rsidRPr="00F05C5C" w:rsidRDefault="007E2972" w:rsidP="00454A88">
            <w:pPr>
              <w:widowControl w:val="0"/>
              <w:jc w:val="both"/>
              <w:rPr>
                <w:color w:val="000000"/>
                <w:sz w:val="20"/>
                <w:szCs w:val="20"/>
              </w:rPr>
            </w:pPr>
            <w:r w:rsidRPr="00F05C5C">
              <w:rPr>
                <w:color w:val="000000"/>
                <w:sz w:val="20"/>
                <w:szCs w:val="20"/>
              </w:rPr>
              <w:t>Размещение гаражей для собственных нужд</w:t>
            </w:r>
          </w:p>
        </w:tc>
        <w:tc>
          <w:tcPr>
            <w:tcW w:w="1117" w:type="pct"/>
          </w:tcPr>
          <w:p w:rsidR="007E2972" w:rsidRPr="00F05C5C" w:rsidRDefault="007E2972" w:rsidP="00454A88">
            <w:pPr>
              <w:widowControl w:val="0"/>
              <w:jc w:val="both"/>
              <w:rPr>
                <w:color w:val="000000"/>
                <w:sz w:val="20"/>
                <w:szCs w:val="20"/>
              </w:rPr>
            </w:pPr>
            <w:r w:rsidRPr="00F05C5C">
              <w:rPr>
                <w:color w:val="000000"/>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46" w:type="pct"/>
          </w:tcPr>
          <w:p w:rsidR="007E2972" w:rsidRPr="00F05C5C" w:rsidRDefault="007E2972" w:rsidP="00454A88">
            <w:pPr>
              <w:widowControl w:val="0"/>
              <w:jc w:val="center"/>
              <w:rPr>
                <w:color w:val="000000"/>
                <w:sz w:val="20"/>
                <w:szCs w:val="20"/>
              </w:rPr>
            </w:pPr>
            <w:r w:rsidRPr="00F05C5C">
              <w:rPr>
                <w:color w:val="000000"/>
                <w:sz w:val="20"/>
                <w:szCs w:val="20"/>
              </w:rPr>
              <w:t>2.7.2</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15</w:t>
            </w:r>
          </w:p>
        </w:tc>
        <w:tc>
          <w:tcPr>
            <w:tcW w:w="280" w:type="pct"/>
          </w:tcPr>
          <w:p w:rsidR="007E2972" w:rsidRPr="00F05C5C" w:rsidRDefault="007E2972" w:rsidP="00454A88">
            <w:pPr>
              <w:widowControl w:val="0"/>
              <w:jc w:val="center"/>
              <w:rPr>
                <w:color w:val="000000"/>
                <w:sz w:val="20"/>
                <w:szCs w:val="20"/>
              </w:rPr>
            </w:pPr>
            <w:r w:rsidRPr="00F05C5C">
              <w:rPr>
                <w:color w:val="000000"/>
                <w:sz w:val="20"/>
                <w:szCs w:val="20"/>
              </w:rPr>
              <w:t>40</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1</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46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1028" w:type="pct"/>
          </w:tcPr>
          <w:p w:rsidR="007E2972" w:rsidRPr="00F05C5C" w:rsidRDefault="007E2972" w:rsidP="00454A88">
            <w:pPr>
              <w:widowControl w:val="0"/>
              <w:jc w:val="both"/>
              <w:rPr>
                <w:color w:val="000000"/>
                <w:sz w:val="20"/>
                <w:szCs w:val="20"/>
              </w:rPr>
            </w:pPr>
            <w:r w:rsidRPr="00F05C5C">
              <w:rPr>
                <w:color w:val="000000"/>
                <w:sz w:val="20"/>
                <w:szCs w:val="20"/>
              </w:rPr>
              <w:t>-</w:t>
            </w:r>
          </w:p>
        </w:tc>
      </w:tr>
      <w:tr w:rsidR="007E2972" w:rsidRPr="00F05C5C" w:rsidTr="00454A88">
        <w:trPr>
          <w:trHeight w:val="20"/>
        </w:trPr>
        <w:tc>
          <w:tcPr>
            <w:tcW w:w="546" w:type="pct"/>
          </w:tcPr>
          <w:p w:rsidR="007E2972" w:rsidRPr="00F05C5C" w:rsidRDefault="007E2972" w:rsidP="00454A88">
            <w:pPr>
              <w:widowControl w:val="0"/>
              <w:jc w:val="both"/>
              <w:rPr>
                <w:rFonts w:eastAsia="Calibri"/>
                <w:color w:val="000000"/>
                <w:sz w:val="20"/>
                <w:szCs w:val="20"/>
              </w:rPr>
            </w:pPr>
            <w:r w:rsidRPr="00F05C5C">
              <w:rPr>
                <w:color w:val="000000"/>
                <w:sz w:val="20"/>
                <w:szCs w:val="20"/>
              </w:rPr>
              <w:t>Предоставление коммунальных услуг</w:t>
            </w:r>
          </w:p>
        </w:tc>
        <w:tc>
          <w:tcPr>
            <w:tcW w:w="1117" w:type="pct"/>
          </w:tcPr>
          <w:p w:rsidR="007E2972" w:rsidRPr="00F05C5C" w:rsidRDefault="007E2972" w:rsidP="00454A88">
            <w:pPr>
              <w:widowControl w:val="0"/>
              <w:jc w:val="both"/>
              <w:rPr>
                <w:color w:val="000000"/>
                <w:sz w:val="20"/>
                <w:szCs w:val="20"/>
              </w:rPr>
            </w:pPr>
            <w:proofErr w:type="gramStart"/>
            <w:r w:rsidRPr="00F05C5C">
              <w:rPr>
                <w:color w:val="000000"/>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w:t>
            </w:r>
            <w:r w:rsidRPr="00F05C5C">
              <w:rPr>
                <w:color w:val="000000"/>
                <w:sz w:val="20"/>
                <w:szCs w:val="20"/>
              </w:rPr>
              <w:lastRenderedPageBreak/>
              <w:t>необходимых для сбора и плавки снега)</w:t>
            </w:r>
            <w:proofErr w:type="gramEnd"/>
          </w:p>
        </w:tc>
        <w:tc>
          <w:tcPr>
            <w:tcW w:w="346" w:type="pct"/>
          </w:tcPr>
          <w:p w:rsidR="007E2972" w:rsidRPr="00F05C5C" w:rsidRDefault="007E2972" w:rsidP="00454A88">
            <w:pPr>
              <w:widowControl w:val="0"/>
              <w:jc w:val="center"/>
              <w:rPr>
                <w:rFonts w:eastAsia="Calibri"/>
                <w:color w:val="000000"/>
                <w:sz w:val="20"/>
                <w:szCs w:val="20"/>
              </w:rPr>
            </w:pPr>
            <w:r w:rsidRPr="00F05C5C">
              <w:rPr>
                <w:color w:val="000000"/>
                <w:sz w:val="20"/>
                <w:szCs w:val="20"/>
              </w:rPr>
              <w:lastRenderedPageBreak/>
              <w:t>3.1.1</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0"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1</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467" w:type="pct"/>
          </w:tcPr>
          <w:p w:rsidR="007E2972" w:rsidRPr="00F05C5C" w:rsidRDefault="007E2972" w:rsidP="00454A88">
            <w:pPr>
              <w:widowControl w:val="0"/>
              <w:jc w:val="center"/>
              <w:rPr>
                <w:color w:val="000000"/>
                <w:sz w:val="20"/>
                <w:szCs w:val="20"/>
              </w:rPr>
            </w:pPr>
            <w:r w:rsidRPr="00F05C5C">
              <w:rPr>
                <w:color w:val="000000"/>
                <w:sz w:val="20"/>
                <w:szCs w:val="20"/>
              </w:rPr>
              <w:t>3</w:t>
            </w:r>
          </w:p>
        </w:tc>
        <w:tc>
          <w:tcPr>
            <w:tcW w:w="1028" w:type="pct"/>
          </w:tcPr>
          <w:p w:rsidR="007E2972" w:rsidRPr="00F05C5C" w:rsidRDefault="007E2972" w:rsidP="00454A88">
            <w:pPr>
              <w:widowControl w:val="0"/>
              <w:jc w:val="both"/>
              <w:rPr>
                <w:color w:val="000000"/>
                <w:sz w:val="20"/>
                <w:szCs w:val="20"/>
              </w:rPr>
            </w:pPr>
            <w:r w:rsidRPr="00F05C5C">
              <w:rPr>
                <w:color w:val="000000"/>
                <w:sz w:val="20"/>
                <w:szCs w:val="20"/>
              </w:rPr>
              <w:t>Минимальный отступ от красной линии - 3, при осуществлении нового строительства</w:t>
            </w:r>
          </w:p>
        </w:tc>
      </w:tr>
      <w:tr w:rsidR="007E2972" w:rsidRPr="00F05C5C" w:rsidTr="00454A88">
        <w:trPr>
          <w:trHeight w:val="20"/>
        </w:trPr>
        <w:tc>
          <w:tcPr>
            <w:tcW w:w="546" w:type="pct"/>
          </w:tcPr>
          <w:p w:rsidR="007E2972" w:rsidRPr="00F05C5C" w:rsidRDefault="007E2972" w:rsidP="00454A88">
            <w:pPr>
              <w:autoSpaceDE w:val="0"/>
              <w:autoSpaceDN w:val="0"/>
              <w:adjustRightInd w:val="0"/>
              <w:jc w:val="both"/>
              <w:rPr>
                <w:color w:val="000000"/>
                <w:sz w:val="20"/>
                <w:szCs w:val="20"/>
              </w:rPr>
            </w:pPr>
            <w:r w:rsidRPr="00F05C5C">
              <w:rPr>
                <w:color w:val="000000"/>
                <w:sz w:val="20"/>
                <w:szCs w:val="20"/>
              </w:rPr>
              <w:lastRenderedPageBreak/>
              <w:t>Бытовое обслуживание</w:t>
            </w:r>
          </w:p>
        </w:tc>
        <w:tc>
          <w:tcPr>
            <w:tcW w:w="1117" w:type="pct"/>
          </w:tcPr>
          <w:p w:rsidR="007E2972" w:rsidRPr="00F05C5C" w:rsidRDefault="007E2972" w:rsidP="00454A88">
            <w:pPr>
              <w:autoSpaceDE w:val="0"/>
              <w:autoSpaceDN w:val="0"/>
              <w:adjustRightInd w:val="0"/>
              <w:jc w:val="both"/>
              <w:rPr>
                <w:color w:val="000000"/>
                <w:sz w:val="20"/>
                <w:szCs w:val="20"/>
              </w:rPr>
            </w:pPr>
            <w:r w:rsidRPr="00F05C5C">
              <w:rPr>
                <w:color w:val="000000"/>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46" w:type="pct"/>
          </w:tcPr>
          <w:p w:rsidR="007E2972" w:rsidRPr="00F05C5C" w:rsidRDefault="007E2972" w:rsidP="00454A88">
            <w:pPr>
              <w:autoSpaceDE w:val="0"/>
              <w:autoSpaceDN w:val="0"/>
              <w:adjustRightInd w:val="0"/>
              <w:jc w:val="center"/>
              <w:rPr>
                <w:rFonts w:ascii="Arial" w:hAnsi="Arial" w:cs="Arial"/>
                <w:color w:val="000000"/>
                <w:sz w:val="20"/>
                <w:szCs w:val="20"/>
              </w:rPr>
            </w:pPr>
            <w:r w:rsidRPr="00F05C5C">
              <w:rPr>
                <w:color w:val="000000"/>
                <w:sz w:val="20"/>
                <w:szCs w:val="20"/>
              </w:rPr>
              <w:t>3.3</w:t>
            </w:r>
          </w:p>
        </w:tc>
        <w:tc>
          <w:tcPr>
            <w:tcW w:w="281" w:type="pct"/>
          </w:tcPr>
          <w:p w:rsidR="007E2972" w:rsidRPr="00F05C5C" w:rsidRDefault="007E2972" w:rsidP="00454A88">
            <w:pPr>
              <w:jc w:val="center"/>
              <w:rPr>
                <w:color w:val="000000"/>
                <w:sz w:val="20"/>
                <w:szCs w:val="20"/>
              </w:rPr>
            </w:pPr>
            <w:r w:rsidRPr="00F05C5C">
              <w:rPr>
                <w:color w:val="000000"/>
                <w:sz w:val="20"/>
                <w:szCs w:val="20"/>
              </w:rPr>
              <w:t>200</w:t>
            </w:r>
          </w:p>
        </w:tc>
        <w:tc>
          <w:tcPr>
            <w:tcW w:w="280"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4</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75</w:t>
            </w:r>
          </w:p>
        </w:tc>
        <w:tc>
          <w:tcPr>
            <w:tcW w:w="467" w:type="pct"/>
          </w:tcPr>
          <w:p w:rsidR="007E2972" w:rsidRPr="00F05C5C" w:rsidRDefault="007E2972" w:rsidP="00454A88">
            <w:pPr>
              <w:widowControl w:val="0"/>
              <w:jc w:val="center"/>
              <w:rPr>
                <w:color w:val="000000"/>
                <w:sz w:val="20"/>
                <w:szCs w:val="20"/>
              </w:rPr>
            </w:pPr>
            <w:r w:rsidRPr="00F05C5C">
              <w:rPr>
                <w:color w:val="000000"/>
                <w:sz w:val="20"/>
                <w:szCs w:val="20"/>
              </w:rPr>
              <w:t>3</w:t>
            </w:r>
          </w:p>
        </w:tc>
        <w:tc>
          <w:tcPr>
            <w:tcW w:w="1028" w:type="pct"/>
          </w:tcPr>
          <w:p w:rsidR="007E2972" w:rsidRPr="00F05C5C" w:rsidRDefault="007E2972" w:rsidP="00454A88">
            <w:pPr>
              <w:jc w:val="both"/>
              <w:rPr>
                <w:color w:val="000000"/>
                <w:sz w:val="20"/>
                <w:szCs w:val="20"/>
              </w:rPr>
            </w:pPr>
            <w:r w:rsidRPr="00F05C5C">
              <w:rPr>
                <w:color w:val="000000"/>
                <w:sz w:val="20"/>
                <w:szCs w:val="20"/>
              </w:rPr>
              <w:t>Минимальный отступ от красной линии - 3, при осуществлении нового строительства</w:t>
            </w:r>
          </w:p>
        </w:tc>
      </w:tr>
      <w:tr w:rsidR="007E2972" w:rsidRPr="00F05C5C" w:rsidTr="00454A88">
        <w:trPr>
          <w:trHeight w:val="20"/>
        </w:trPr>
        <w:tc>
          <w:tcPr>
            <w:tcW w:w="546" w:type="pct"/>
          </w:tcPr>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t>Служебные гаражи</w:t>
            </w:r>
          </w:p>
        </w:tc>
        <w:tc>
          <w:tcPr>
            <w:tcW w:w="1117" w:type="pct"/>
          </w:tcPr>
          <w:p w:rsidR="007E2972" w:rsidRPr="00F05C5C" w:rsidRDefault="007E2972" w:rsidP="00454A88">
            <w:pPr>
              <w:widowControl w:val="0"/>
              <w:autoSpaceDE w:val="0"/>
              <w:autoSpaceDN w:val="0"/>
              <w:adjustRightInd w:val="0"/>
              <w:jc w:val="both"/>
              <w:rPr>
                <w:rFonts w:eastAsia="Calibri"/>
                <w:color w:val="000000"/>
                <w:sz w:val="20"/>
                <w:szCs w:val="20"/>
              </w:rPr>
            </w:pPr>
            <w:r w:rsidRPr="00F05C5C">
              <w:rPr>
                <w:rFonts w:eastAsia="Calibri"/>
                <w:color w:val="000000"/>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81" w:history="1">
              <w:r w:rsidRPr="00F05C5C">
                <w:rPr>
                  <w:rFonts w:eastAsia="Calibri"/>
                  <w:color w:val="000000"/>
                  <w:sz w:val="20"/>
                  <w:szCs w:val="20"/>
                </w:rPr>
                <w:t>кодами 3.0</w:t>
              </w:r>
            </w:hyperlink>
            <w:r w:rsidRPr="00F05C5C">
              <w:rPr>
                <w:rFonts w:eastAsia="Calibri"/>
                <w:color w:val="000000"/>
                <w:sz w:val="20"/>
                <w:szCs w:val="20"/>
              </w:rPr>
              <w:t xml:space="preserve">, </w:t>
            </w:r>
            <w:hyperlink w:anchor="Par289" w:history="1">
              <w:r w:rsidRPr="00F05C5C">
                <w:rPr>
                  <w:rFonts w:eastAsia="Calibri"/>
                  <w:color w:val="000000"/>
                  <w:sz w:val="20"/>
                  <w:szCs w:val="20"/>
                </w:rPr>
                <w:t>4.0</w:t>
              </w:r>
            </w:hyperlink>
            <w:r w:rsidRPr="00F05C5C">
              <w:rPr>
                <w:rFonts w:eastAsia="Calibri"/>
                <w:color w:val="000000"/>
                <w:sz w:val="20"/>
                <w:szCs w:val="20"/>
              </w:rPr>
              <w:t>, а также для стоянки и хранения транспортных средств общего пользования, в том числе в депо</w:t>
            </w:r>
          </w:p>
        </w:tc>
        <w:tc>
          <w:tcPr>
            <w:tcW w:w="346" w:type="pct"/>
          </w:tcPr>
          <w:p w:rsidR="007E2972" w:rsidRPr="00F05C5C" w:rsidRDefault="007E2972" w:rsidP="00454A88">
            <w:pPr>
              <w:widowControl w:val="0"/>
              <w:jc w:val="center"/>
              <w:rPr>
                <w:rFonts w:eastAsia="Calibri"/>
                <w:color w:val="000000"/>
                <w:sz w:val="20"/>
                <w:szCs w:val="20"/>
              </w:rPr>
            </w:pPr>
            <w:r w:rsidRPr="00F05C5C">
              <w:rPr>
                <w:rFonts w:eastAsia="Calibri"/>
                <w:color w:val="000000"/>
                <w:sz w:val="20"/>
                <w:szCs w:val="20"/>
              </w:rPr>
              <w:t>4.9</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0"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46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1028" w:type="pct"/>
          </w:tcPr>
          <w:p w:rsidR="007E2972" w:rsidRPr="00F05C5C" w:rsidRDefault="007E2972" w:rsidP="00454A88">
            <w:pPr>
              <w:widowControl w:val="0"/>
              <w:autoSpaceDE w:val="0"/>
              <w:autoSpaceDN w:val="0"/>
              <w:adjustRightInd w:val="0"/>
              <w:jc w:val="both"/>
              <w:rPr>
                <w:color w:val="000000"/>
                <w:sz w:val="20"/>
                <w:szCs w:val="20"/>
              </w:rPr>
            </w:pPr>
            <w:r w:rsidRPr="00F05C5C">
              <w:rPr>
                <w:color w:val="000000"/>
                <w:sz w:val="20"/>
                <w:szCs w:val="20"/>
              </w:rPr>
              <w:t>-</w:t>
            </w:r>
          </w:p>
        </w:tc>
      </w:tr>
      <w:tr w:rsidR="007E2972" w:rsidRPr="00F05C5C" w:rsidTr="00454A88">
        <w:trPr>
          <w:trHeight w:val="20"/>
        </w:trPr>
        <w:tc>
          <w:tcPr>
            <w:tcW w:w="546" w:type="pct"/>
          </w:tcPr>
          <w:p w:rsidR="007E2972" w:rsidRPr="00F05C5C" w:rsidRDefault="007E2972" w:rsidP="00454A88">
            <w:pPr>
              <w:widowControl w:val="0"/>
              <w:rPr>
                <w:rFonts w:eastAsia="Calibri"/>
                <w:color w:val="000000"/>
                <w:sz w:val="20"/>
                <w:szCs w:val="20"/>
              </w:rPr>
            </w:pPr>
            <w:r w:rsidRPr="00F05C5C">
              <w:rPr>
                <w:color w:val="000000"/>
                <w:sz w:val="20"/>
                <w:szCs w:val="20"/>
              </w:rPr>
              <w:t>Улично-дорожная сеть</w:t>
            </w:r>
          </w:p>
        </w:tc>
        <w:tc>
          <w:tcPr>
            <w:tcW w:w="1117" w:type="pct"/>
          </w:tcPr>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w:t>
            </w:r>
            <w:r w:rsidRPr="00F05C5C">
              <w:rPr>
                <w:rFonts w:eastAsia="Calibri"/>
                <w:color w:val="000000"/>
                <w:sz w:val="20"/>
                <w:szCs w:val="20"/>
              </w:rPr>
              <w:lastRenderedPageBreak/>
              <w:t xml:space="preserve">велодорожек и объектов </w:t>
            </w:r>
            <w:proofErr w:type="spellStart"/>
            <w:r w:rsidRPr="00F05C5C">
              <w:rPr>
                <w:rFonts w:eastAsia="Calibri"/>
                <w:color w:val="000000"/>
                <w:sz w:val="20"/>
                <w:szCs w:val="20"/>
              </w:rPr>
              <w:t>велотранспортной</w:t>
            </w:r>
            <w:proofErr w:type="spellEnd"/>
            <w:r w:rsidRPr="00F05C5C">
              <w:rPr>
                <w:rFonts w:eastAsia="Calibri"/>
                <w:color w:val="000000"/>
                <w:sz w:val="20"/>
                <w:szCs w:val="20"/>
              </w:rPr>
              <w:t xml:space="preserve"> и инженерной инфраструктуры;</w:t>
            </w:r>
          </w:p>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t>размещение придорожных стоянок (парковок) транспортных сре</w:t>
            </w:r>
            <w:proofErr w:type="gramStart"/>
            <w:r w:rsidRPr="00F05C5C">
              <w:rPr>
                <w:rFonts w:eastAsia="Calibri"/>
                <w:color w:val="000000"/>
                <w:sz w:val="20"/>
                <w:szCs w:val="20"/>
              </w:rPr>
              <w:t>дств в гр</w:t>
            </w:r>
            <w:proofErr w:type="gramEnd"/>
            <w:r w:rsidRPr="00F05C5C">
              <w:rPr>
                <w:rFonts w:eastAsia="Calibri"/>
                <w:color w:val="000000"/>
                <w:sz w:val="20"/>
                <w:szCs w:val="20"/>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46" w:type="pct"/>
          </w:tcPr>
          <w:p w:rsidR="007E2972" w:rsidRPr="00F05C5C" w:rsidRDefault="007E2972" w:rsidP="00454A88">
            <w:pPr>
              <w:widowControl w:val="0"/>
              <w:jc w:val="center"/>
              <w:rPr>
                <w:rFonts w:eastAsia="Calibri"/>
                <w:color w:val="000000"/>
                <w:sz w:val="20"/>
                <w:szCs w:val="20"/>
              </w:rPr>
            </w:pPr>
            <w:r w:rsidRPr="00F05C5C">
              <w:rPr>
                <w:rFonts w:eastAsia="Calibri"/>
                <w:color w:val="000000"/>
                <w:sz w:val="20"/>
                <w:szCs w:val="20"/>
              </w:rPr>
              <w:lastRenderedPageBreak/>
              <w:t>12.0.1</w:t>
            </w:r>
          </w:p>
        </w:tc>
        <w:tc>
          <w:tcPr>
            <w:tcW w:w="281" w:type="pct"/>
          </w:tcPr>
          <w:p w:rsidR="007E2972" w:rsidRPr="00F05C5C" w:rsidRDefault="007E2972" w:rsidP="00454A88">
            <w:pPr>
              <w:widowControl w:val="0"/>
              <w:contextualSpacing/>
              <w:jc w:val="center"/>
              <w:rPr>
                <w:color w:val="000000"/>
                <w:sz w:val="20"/>
                <w:szCs w:val="20"/>
              </w:rPr>
            </w:pPr>
            <w:r w:rsidRPr="00F05C5C">
              <w:rPr>
                <w:color w:val="000000"/>
                <w:sz w:val="20"/>
                <w:szCs w:val="20"/>
              </w:rPr>
              <w:t>-</w:t>
            </w:r>
          </w:p>
        </w:tc>
        <w:tc>
          <w:tcPr>
            <w:tcW w:w="280" w:type="pct"/>
          </w:tcPr>
          <w:p w:rsidR="007E2972" w:rsidRPr="00F05C5C" w:rsidRDefault="007E2972" w:rsidP="00454A88">
            <w:pPr>
              <w:widowControl w:val="0"/>
              <w:contextualSpacing/>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contextualSpacing/>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contextualSpacing/>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467" w:type="pct"/>
          </w:tcPr>
          <w:p w:rsidR="007E2972" w:rsidRPr="00F05C5C" w:rsidRDefault="007E2972" w:rsidP="00454A88">
            <w:pPr>
              <w:widowControl w:val="0"/>
              <w:tabs>
                <w:tab w:val="left" w:pos="142"/>
              </w:tabs>
              <w:autoSpaceDE w:val="0"/>
              <w:jc w:val="center"/>
              <w:rPr>
                <w:color w:val="000000"/>
                <w:sz w:val="20"/>
                <w:szCs w:val="20"/>
              </w:rPr>
            </w:pPr>
            <w:r w:rsidRPr="00F05C5C">
              <w:rPr>
                <w:color w:val="000000"/>
                <w:sz w:val="20"/>
                <w:szCs w:val="20"/>
              </w:rPr>
              <w:t>-</w:t>
            </w:r>
          </w:p>
        </w:tc>
        <w:tc>
          <w:tcPr>
            <w:tcW w:w="1028" w:type="pct"/>
          </w:tcPr>
          <w:p w:rsidR="007E2972" w:rsidRPr="00F05C5C" w:rsidRDefault="007E2972" w:rsidP="00454A88">
            <w:pPr>
              <w:widowControl w:val="0"/>
              <w:contextualSpacing/>
              <w:rPr>
                <w:color w:val="000000"/>
                <w:sz w:val="20"/>
                <w:szCs w:val="20"/>
              </w:rPr>
            </w:pPr>
            <w:r w:rsidRPr="00F05C5C">
              <w:rPr>
                <w:color w:val="000000"/>
                <w:sz w:val="20"/>
                <w:szCs w:val="20"/>
              </w:rPr>
              <w:t>-</w:t>
            </w:r>
          </w:p>
        </w:tc>
      </w:tr>
      <w:tr w:rsidR="007E2972" w:rsidRPr="00F05C5C" w:rsidTr="00454A88">
        <w:trPr>
          <w:trHeight w:val="20"/>
        </w:trPr>
        <w:tc>
          <w:tcPr>
            <w:tcW w:w="546" w:type="pct"/>
          </w:tcPr>
          <w:p w:rsidR="007E2972" w:rsidRPr="00F05C5C" w:rsidRDefault="007E2972" w:rsidP="00454A88">
            <w:pPr>
              <w:widowControl w:val="0"/>
              <w:rPr>
                <w:rFonts w:eastAsia="Calibri"/>
                <w:color w:val="000000"/>
                <w:sz w:val="20"/>
                <w:szCs w:val="20"/>
              </w:rPr>
            </w:pPr>
            <w:r w:rsidRPr="00F05C5C">
              <w:rPr>
                <w:rFonts w:eastAsia="Calibri"/>
                <w:color w:val="000000"/>
                <w:sz w:val="20"/>
                <w:szCs w:val="20"/>
              </w:rPr>
              <w:lastRenderedPageBreak/>
              <w:t>Благоустройство территории</w:t>
            </w:r>
          </w:p>
        </w:tc>
        <w:tc>
          <w:tcPr>
            <w:tcW w:w="1117" w:type="pct"/>
          </w:tcPr>
          <w:p w:rsidR="007E2972" w:rsidRPr="00F05C5C" w:rsidRDefault="007E2972" w:rsidP="00454A88">
            <w:pPr>
              <w:widowControl w:val="0"/>
              <w:jc w:val="both"/>
              <w:rPr>
                <w:color w:val="000000"/>
                <w:sz w:val="20"/>
                <w:szCs w:val="20"/>
              </w:rPr>
            </w:pPr>
            <w:r w:rsidRPr="00F05C5C">
              <w:rPr>
                <w:rFonts w:eastAsia="Calibri"/>
                <w:color w:val="000000"/>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w:t>
            </w:r>
            <w:r w:rsidRPr="00F05C5C">
              <w:rPr>
                <w:rFonts w:eastAsia="Calibri"/>
                <w:color w:val="000000"/>
                <w:sz w:val="20"/>
                <w:szCs w:val="20"/>
              </w:rPr>
              <w:lastRenderedPageBreak/>
              <w:t>общественных туалетов</w:t>
            </w:r>
          </w:p>
        </w:tc>
        <w:tc>
          <w:tcPr>
            <w:tcW w:w="346" w:type="pct"/>
          </w:tcPr>
          <w:p w:rsidR="007E2972" w:rsidRPr="00F05C5C" w:rsidRDefault="007E2972" w:rsidP="00454A88">
            <w:pPr>
              <w:widowControl w:val="0"/>
              <w:jc w:val="center"/>
              <w:rPr>
                <w:rFonts w:eastAsia="Calibri"/>
                <w:color w:val="000000"/>
                <w:sz w:val="20"/>
                <w:szCs w:val="20"/>
              </w:rPr>
            </w:pPr>
            <w:r w:rsidRPr="00F05C5C">
              <w:rPr>
                <w:rFonts w:eastAsia="Calibri"/>
                <w:color w:val="000000"/>
                <w:sz w:val="20"/>
                <w:szCs w:val="20"/>
              </w:rPr>
              <w:lastRenderedPageBreak/>
              <w:t>12.0.2</w:t>
            </w:r>
          </w:p>
        </w:tc>
        <w:tc>
          <w:tcPr>
            <w:tcW w:w="281" w:type="pct"/>
          </w:tcPr>
          <w:p w:rsidR="007E2972" w:rsidRPr="00F05C5C" w:rsidRDefault="007E2972" w:rsidP="00454A88">
            <w:pPr>
              <w:widowControl w:val="0"/>
              <w:contextualSpacing/>
              <w:jc w:val="center"/>
              <w:rPr>
                <w:color w:val="000000"/>
                <w:sz w:val="20"/>
                <w:szCs w:val="20"/>
              </w:rPr>
            </w:pPr>
            <w:r w:rsidRPr="00F05C5C">
              <w:rPr>
                <w:color w:val="000000"/>
                <w:sz w:val="20"/>
                <w:szCs w:val="20"/>
              </w:rPr>
              <w:t>-</w:t>
            </w:r>
          </w:p>
        </w:tc>
        <w:tc>
          <w:tcPr>
            <w:tcW w:w="280" w:type="pct"/>
          </w:tcPr>
          <w:p w:rsidR="007E2972" w:rsidRPr="00F05C5C" w:rsidRDefault="007E2972" w:rsidP="00454A88">
            <w:pPr>
              <w:widowControl w:val="0"/>
              <w:contextualSpacing/>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contextualSpacing/>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contextualSpacing/>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467" w:type="pct"/>
          </w:tcPr>
          <w:p w:rsidR="007E2972" w:rsidRPr="00F05C5C" w:rsidRDefault="007E2972" w:rsidP="00454A88">
            <w:pPr>
              <w:widowControl w:val="0"/>
              <w:tabs>
                <w:tab w:val="left" w:pos="142"/>
              </w:tabs>
              <w:autoSpaceDE w:val="0"/>
              <w:jc w:val="center"/>
              <w:rPr>
                <w:color w:val="000000"/>
                <w:sz w:val="20"/>
                <w:szCs w:val="20"/>
              </w:rPr>
            </w:pPr>
            <w:r w:rsidRPr="00F05C5C">
              <w:rPr>
                <w:color w:val="000000"/>
                <w:sz w:val="20"/>
                <w:szCs w:val="20"/>
              </w:rPr>
              <w:t>-</w:t>
            </w:r>
          </w:p>
        </w:tc>
        <w:tc>
          <w:tcPr>
            <w:tcW w:w="1028" w:type="pct"/>
          </w:tcPr>
          <w:p w:rsidR="007E2972" w:rsidRPr="00F05C5C" w:rsidRDefault="007E2972" w:rsidP="00454A88">
            <w:pPr>
              <w:widowControl w:val="0"/>
              <w:contextualSpacing/>
              <w:rPr>
                <w:color w:val="000000"/>
                <w:sz w:val="20"/>
                <w:szCs w:val="20"/>
              </w:rPr>
            </w:pPr>
            <w:r w:rsidRPr="00F05C5C">
              <w:rPr>
                <w:color w:val="000000"/>
                <w:sz w:val="20"/>
                <w:szCs w:val="20"/>
              </w:rPr>
              <w:t>-</w:t>
            </w:r>
          </w:p>
        </w:tc>
      </w:tr>
      <w:tr w:rsidR="007E2972" w:rsidRPr="00F05C5C" w:rsidTr="00454A88">
        <w:trPr>
          <w:trHeight w:val="20"/>
        </w:trPr>
        <w:tc>
          <w:tcPr>
            <w:tcW w:w="5000" w:type="pct"/>
            <w:gridSpan w:val="10"/>
          </w:tcPr>
          <w:p w:rsidR="007E2972" w:rsidRPr="00F05C5C" w:rsidRDefault="007E2972" w:rsidP="00454A88">
            <w:pPr>
              <w:widowControl w:val="0"/>
              <w:jc w:val="center"/>
              <w:rPr>
                <w:b/>
                <w:bCs/>
                <w:color w:val="000000"/>
                <w:sz w:val="20"/>
                <w:szCs w:val="20"/>
              </w:rPr>
            </w:pPr>
            <w:r w:rsidRPr="00F05C5C">
              <w:rPr>
                <w:rFonts w:eastAsia="Calibri"/>
                <w:b/>
                <w:bCs/>
                <w:color w:val="000000"/>
                <w:sz w:val="20"/>
                <w:szCs w:val="20"/>
              </w:rPr>
              <w:lastRenderedPageBreak/>
              <w:t>Условно разрешенные виды использования</w:t>
            </w:r>
          </w:p>
        </w:tc>
      </w:tr>
      <w:tr w:rsidR="007E2972" w:rsidRPr="00F05C5C" w:rsidTr="00454A88">
        <w:trPr>
          <w:trHeight w:val="20"/>
        </w:trPr>
        <w:tc>
          <w:tcPr>
            <w:tcW w:w="546" w:type="pct"/>
          </w:tcPr>
          <w:p w:rsidR="007E2972" w:rsidRPr="00F05C5C" w:rsidRDefault="007E2972" w:rsidP="00454A88">
            <w:pPr>
              <w:widowControl w:val="0"/>
              <w:jc w:val="both"/>
              <w:rPr>
                <w:color w:val="000000"/>
                <w:sz w:val="20"/>
                <w:szCs w:val="20"/>
              </w:rPr>
            </w:pPr>
            <w:r w:rsidRPr="00F05C5C">
              <w:rPr>
                <w:color w:val="000000"/>
                <w:sz w:val="20"/>
                <w:szCs w:val="20"/>
              </w:rPr>
              <w:t>Общежития</w:t>
            </w:r>
          </w:p>
        </w:tc>
        <w:tc>
          <w:tcPr>
            <w:tcW w:w="1117" w:type="pct"/>
          </w:tcPr>
          <w:p w:rsidR="007E2972" w:rsidRPr="00F05C5C" w:rsidRDefault="007E2972" w:rsidP="00454A88">
            <w:pPr>
              <w:widowControl w:val="0"/>
              <w:jc w:val="both"/>
              <w:rPr>
                <w:color w:val="000000"/>
                <w:sz w:val="20"/>
                <w:szCs w:val="20"/>
              </w:rPr>
            </w:pPr>
            <w:r w:rsidRPr="00F05C5C">
              <w:rPr>
                <w:color w:val="000000"/>
                <w:sz w:val="20"/>
                <w:szCs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12" w:history="1">
              <w:r w:rsidRPr="00F05C5C">
                <w:rPr>
                  <w:color w:val="000000"/>
                  <w:sz w:val="20"/>
                  <w:szCs w:val="20"/>
                </w:rPr>
                <w:t>кодом 4.7</w:t>
              </w:r>
            </w:hyperlink>
          </w:p>
        </w:tc>
        <w:tc>
          <w:tcPr>
            <w:tcW w:w="346" w:type="pct"/>
          </w:tcPr>
          <w:p w:rsidR="007E2972" w:rsidRPr="00F05C5C" w:rsidRDefault="007E2972" w:rsidP="00454A88">
            <w:pPr>
              <w:widowControl w:val="0"/>
              <w:jc w:val="center"/>
              <w:rPr>
                <w:color w:val="000000"/>
                <w:sz w:val="20"/>
                <w:szCs w:val="20"/>
              </w:rPr>
            </w:pPr>
            <w:r w:rsidRPr="00F05C5C">
              <w:rPr>
                <w:color w:val="000000"/>
                <w:sz w:val="20"/>
                <w:szCs w:val="20"/>
              </w:rPr>
              <w:t>3.2.4</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0"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467" w:type="pct"/>
          </w:tcPr>
          <w:p w:rsidR="007E2972" w:rsidRPr="00F05C5C" w:rsidRDefault="007E2972" w:rsidP="00454A88">
            <w:pPr>
              <w:widowControl w:val="0"/>
              <w:jc w:val="center"/>
              <w:rPr>
                <w:color w:val="000000"/>
                <w:sz w:val="20"/>
                <w:szCs w:val="20"/>
              </w:rPr>
            </w:pPr>
            <w:r w:rsidRPr="00F05C5C">
              <w:rPr>
                <w:color w:val="000000"/>
                <w:sz w:val="20"/>
                <w:szCs w:val="20"/>
              </w:rPr>
              <w:t>3</w:t>
            </w:r>
          </w:p>
        </w:tc>
        <w:tc>
          <w:tcPr>
            <w:tcW w:w="1028" w:type="pct"/>
          </w:tcPr>
          <w:p w:rsidR="007E2972" w:rsidRPr="00F05C5C" w:rsidRDefault="007E2972" w:rsidP="00454A88">
            <w:pPr>
              <w:widowControl w:val="0"/>
              <w:rPr>
                <w:color w:val="000000"/>
                <w:sz w:val="20"/>
                <w:szCs w:val="20"/>
              </w:rPr>
            </w:pPr>
            <w:r w:rsidRPr="00F05C5C">
              <w:rPr>
                <w:color w:val="000000"/>
                <w:sz w:val="20"/>
                <w:szCs w:val="20"/>
              </w:rPr>
              <w:t>Минимальный отступ от красной линии - 3, при осуществлении нового строительства</w:t>
            </w:r>
          </w:p>
        </w:tc>
      </w:tr>
      <w:tr w:rsidR="007E2972" w:rsidRPr="00F05C5C" w:rsidTr="00454A88">
        <w:trPr>
          <w:trHeight w:val="20"/>
        </w:trPr>
        <w:tc>
          <w:tcPr>
            <w:tcW w:w="546" w:type="pct"/>
          </w:tcPr>
          <w:p w:rsidR="007E2972" w:rsidRPr="00F05C5C" w:rsidRDefault="007E2972" w:rsidP="00454A88">
            <w:pPr>
              <w:widowControl w:val="0"/>
              <w:jc w:val="both"/>
              <w:rPr>
                <w:rFonts w:eastAsia="Calibri"/>
                <w:color w:val="000000"/>
                <w:sz w:val="20"/>
                <w:szCs w:val="20"/>
              </w:rPr>
            </w:pPr>
            <w:r w:rsidRPr="00F05C5C">
              <w:rPr>
                <w:color w:val="000000"/>
                <w:sz w:val="20"/>
                <w:szCs w:val="20"/>
              </w:rPr>
              <w:t>Магазины</w:t>
            </w:r>
          </w:p>
        </w:tc>
        <w:tc>
          <w:tcPr>
            <w:tcW w:w="1117" w:type="pct"/>
          </w:tcPr>
          <w:p w:rsidR="007E2972" w:rsidRPr="00F05C5C" w:rsidRDefault="007E2972" w:rsidP="00454A88">
            <w:pPr>
              <w:widowControl w:val="0"/>
              <w:jc w:val="both"/>
              <w:rPr>
                <w:rFonts w:eastAsia="Calibri"/>
                <w:color w:val="000000"/>
                <w:sz w:val="20"/>
                <w:szCs w:val="20"/>
              </w:rPr>
            </w:pPr>
            <w:r w:rsidRPr="00F05C5C">
              <w:rPr>
                <w:color w:val="000000"/>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F05C5C">
              <w:rPr>
                <w:color w:val="000000"/>
                <w:sz w:val="20"/>
                <w:szCs w:val="20"/>
              </w:rPr>
              <w:t>кв</w:t>
            </w:r>
            <w:proofErr w:type="gramStart"/>
            <w:r w:rsidRPr="00F05C5C">
              <w:rPr>
                <w:color w:val="000000"/>
                <w:sz w:val="20"/>
                <w:szCs w:val="20"/>
              </w:rPr>
              <w:t>.м</w:t>
            </w:r>
            <w:proofErr w:type="spellEnd"/>
            <w:proofErr w:type="gramEnd"/>
          </w:p>
        </w:tc>
        <w:tc>
          <w:tcPr>
            <w:tcW w:w="346" w:type="pct"/>
          </w:tcPr>
          <w:p w:rsidR="007E2972" w:rsidRPr="00F05C5C" w:rsidRDefault="007E2972" w:rsidP="00454A88">
            <w:pPr>
              <w:widowControl w:val="0"/>
              <w:jc w:val="center"/>
              <w:rPr>
                <w:rFonts w:eastAsia="Calibri"/>
                <w:color w:val="000000"/>
                <w:sz w:val="20"/>
                <w:szCs w:val="20"/>
              </w:rPr>
            </w:pPr>
            <w:r w:rsidRPr="00F05C5C">
              <w:rPr>
                <w:rFonts w:eastAsia="Calibri"/>
                <w:color w:val="000000"/>
                <w:sz w:val="20"/>
                <w:szCs w:val="20"/>
              </w:rPr>
              <w:t>4.4</w:t>
            </w:r>
          </w:p>
        </w:tc>
        <w:tc>
          <w:tcPr>
            <w:tcW w:w="281" w:type="pct"/>
          </w:tcPr>
          <w:p w:rsidR="007E2972" w:rsidRPr="00F05C5C" w:rsidRDefault="007E2972" w:rsidP="00454A88">
            <w:pPr>
              <w:widowControl w:val="0"/>
              <w:contextualSpacing/>
              <w:jc w:val="center"/>
              <w:rPr>
                <w:color w:val="000000"/>
                <w:sz w:val="20"/>
                <w:szCs w:val="20"/>
              </w:rPr>
            </w:pPr>
            <w:r w:rsidRPr="00F05C5C">
              <w:rPr>
                <w:color w:val="000000"/>
                <w:sz w:val="20"/>
                <w:szCs w:val="20"/>
              </w:rPr>
              <w:t>200</w:t>
            </w:r>
          </w:p>
        </w:tc>
        <w:tc>
          <w:tcPr>
            <w:tcW w:w="280" w:type="pct"/>
          </w:tcPr>
          <w:p w:rsidR="007E2972" w:rsidRPr="00F05C5C" w:rsidRDefault="007E2972" w:rsidP="00454A88">
            <w:pPr>
              <w:widowControl w:val="0"/>
              <w:contextualSpacing/>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contextualSpacing/>
              <w:jc w:val="center"/>
              <w:rPr>
                <w:color w:val="000000"/>
                <w:sz w:val="20"/>
                <w:szCs w:val="20"/>
              </w:rPr>
            </w:pPr>
            <w:r w:rsidRPr="00F05C5C">
              <w:rPr>
                <w:color w:val="000000"/>
                <w:sz w:val="20"/>
                <w:szCs w:val="20"/>
              </w:rPr>
              <w:t>3</w:t>
            </w:r>
          </w:p>
        </w:tc>
        <w:tc>
          <w:tcPr>
            <w:tcW w:w="327" w:type="pct"/>
          </w:tcPr>
          <w:p w:rsidR="007E2972" w:rsidRPr="00F05C5C" w:rsidRDefault="007E2972" w:rsidP="00454A88">
            <w:pPr>
              <w:widowControl w:val="0"/>
              <w:contextualSpacing/>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75</w:t>
            </w:r>
          </w:p>
        </w:tc>
        <w:tc>
          <w:tcPr>
            <w:tcW w:w="467" w:type="pct"/>
          </w:tcPr>
          <w:p w:rsidR="007E2972" w:rsidRPr="00F05C5C" w:rsidRDefault="007E2972" w:rsidP="00454A88">
            <w:pPr>
              <w:widowControl w:val="0"/>
              <w:tabs>
                <w:tab w:val="left" w:pos="142"/>
              </w:tabs>
              <w:autoSpaceDE w:val="0"/>
              <w:jc w:val="center"/>
              <w:rPr>
                <w:color w:val="000000"/>
                <w:sz w:val="20"/>
                <w:szCs w:val="20"/>
              </w:rPr>
            </w:pPr>
            <w:r w:rsidRPr="00F05C5C">
              <w:rPr>
                <w:color w:val="000000"/>
                <w:sz w:val="20"/>
                <w:szCs w:val="20"/>
              </w:rPr>
              <w:t>3</w:t>
            </w:r>
          </w:p>
        </w:tc>
        <w:tc>
          <w:tcPr>
            <w:tcW w:w="1028" w:type="pct"/>
            <w:vAlign w:val="center"/>
          </w:tcPr>
          <w:p w:rsidR="007E2972" w:rsidRPr="00F05C5C" w:rsidRDefault="007E2972" w:rsidP="00454A88">
            <w:pPr>
              <w:widowControl w:val="0"/>
              <w:contextualSpacing/>
              <w:jc w:val="both"/>
              <w:rPr>
                <w:color w:val="000000"/>
                <w:sz w:val="20"/>
                <w:szCs w:val="20"/>
              </w:rPr>
            </w:pPr>
            <w:r w:rsidRPr="00F05C5C">
              <w:rPr>
                <w:color w:val="000000"/>
                <w:sz w:val="20"/>
                <w:szCs w:val="20"/>
              </w:rPr>
              <w:t>Минимальный отступ от красной линии - 3 м при осуществлении нового строительства</w:t>
            </w:r>
          </w:p>
        </w:tc>
      </w:tr>
      <w:tr w:rsidR="007E2972" w:rsidRPr="00F05C5C" w:rsidTr="00454A88">
        <w:trPr>
          <w:trHeight w:val="20"/>
        </w:trPr>
        <w:tc>
          <w:tcPr>
            <w:tcW w:w="546" w:type="pct"/>
          </w:tcPr>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t>Общественное питание</w:t>
            </w:r>
          </w:p>
        </w:tc>
        <w:tc>
          <w:tcPr>
            <w:tcW w:w="1117" w:type="pct"/>
          </w:tcPr>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46" w:type="pct"/>
          </w:tcPr>
          <w:p w:rsidR="007E2972" w:rsidRPr="00F05C5C" w:rsidRDefault="007E2972" w:rsidP="00454A88">
            <w:pPr>
              <w:widowControl w:val="0"/>
              <w:jc w:val="center"/>
              <w:rPr>
                <w:rFonts w:eastAsia="Calibri"/>
                <w:color w:val="000000"/>
                <w:sz w:val="20"/>
                <w:szCs w:val="20"/>
              </w:rPr>
            </w:pPr>
            <w:r w:rsidRPr="00F05C5C">
              <w:rPr>
                <w:rFonts w:eastAsia="Calibri"/>
                <w:color w:val="000000"/>
                <w:sz w:val="20"/>
                <w:szCs w:val="20"/>
              </w:rPr>
              <w:t>4.6</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200</w:t>
            </w:r>
          </w:p>
        </w:tc>
        <w:tc>
          <w:tcPr>
            <w:tcW w:w="280"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3</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75</w:t>
            </w:r>
          </w:p>
        </w:tc>
        <w:tc>
          <w:tcPr>
            <w:tcW w:w="467" w:type="pct"/>
          </w:tcPr>
          <w:p w:rsidR="007E2972" w:rsidRPr="00F05C5C" w:rsidRDefault="007E2972" w:rsidP="00454A88">
            <w:pPr>
              <w:widowControl w:val="0"/>
              <w:jc w:val="center"/>
              <w:rPr>
                <w:color w:val="000000"/>
                <w:sz w:val="20"/>
                <w:szCs w:val="20"/>
              </w:rPr>
            </w:pPr>
            <w:r w:rsidRPr="00F05C5C">
              <w:rPr>
                <w:color w:val="000000"/>
                <w:sz w:val="20"/>
                <w:szCs w:val="20"/>
              </w:rPr>
              <w:t>3</w:t>
            </w:r>
          </w:p>
        </w:tc>
        <w:tc>
          <w:tcPr>
            <w:tcW w:w="1028" w:type="pct"/>
          </w:tcPr>
          <w:p w:rsidR="007E2972" w:rsidRPr="00F05C5C" w:rsidRDefault="007E2972" w:rsidP="00454A88">
            <w:pPr>
              <w:widowControl w:val="0"/>
              <w:tabs>
                <w:tab w:val="left" w:pos="142"/>
              </w:tabs>
              <w:autoSpaceDE w:val="0"/>
              <w:jc w:val="both"/>
              <w:rPr>
                <w:color w:val="000000"/>
                <w:sz w:val="20"/>
                <w:szCs w:val="20"/>
              </w:rPr>
            </w:pPr>
            <w:r w:rsidRPr="00F05C5C">
              <w:rPr>
                <w:color w:val="000000"/>
                <w:sz w:val="20"/>
                <w:szCs w:val="20"/>
              </w:rPr>
              <w:t>Минимальный отступ от красной линии - 3 м при осуществлении нового строительства</w:t>
            </w:r>
          </w:p>
        </w:tc>
      </w:tr>
      <w:tr w:rsidR="007E2972" w:rsidRPr="00F05C5C" w:rsidTr="00454A88">
        <w:trPr>
          <w:trHeight w:val="20"/>
        </w:trPr>
        <w:tc>
          <w:tcPr>
            <w:tcW w:w="546" w:type="pct"/>
          </w:tcPr>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t>Заправка транспортных средств</w:t>
            </w:r>
          </w:p>
        </w:tc>
        <w:tc>
          <w:tcPr>
            <w:tcW w:w="1117" w:type="pct"/>
          </w:tcPr>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t xml:space="preserve">Размещение автозаправочных станций; размещение магазинов сопутствующей торговли, зданий для организации общественного </w:t>
            </w:r>
            <w:r w:rsidRPr="00F05C5C">
              <w:rPr>
                <w:rFonts w:eastAsia="Calibri"/>
                <w:color w:val="000000"/>
                <w:sz w:val="20"/>
                <w:szCs w:val="20"/>
              </w:rPr>
              <w:lastRenderedPageBreak/>
              <w:t>питания в качестве объектов дорожного сервиса</w:t>
            </w:r>
          </w:p>
        </w:tc>
        <w:tc>
          <w:tcPr>
            <w:tcW w:w="346" w:type="pct"/>
          </w:tcPr>
          <w:p w:rsidR="007E2972" w:rsidRPr="00F05C5C" w:rsidRDefault="007E2972" w:rsidP="00454A88">
            <w:pPr>
              <w:widowControl w:val="0"/>
              <w:jc w:val="center"/>
              <w:rPr>
                <w:rFonts w:eastAsia="Calibri"/>
                <w:color w:val="000000"/>
                <w:sz w:val="20"/>
                <w:szCs w:val="20"/>
              </w:rPr>
            </w:pPr>
            <w:r w:rsidRPr="00F05C5C">
              <w:rPr>
                <w:rFonts w:eastAsia="Calibri"/>
                <w:color w:val="000000"/>
                <w:sz w:val="20"/>
                <w:szCs w:val="20"/>
              </w:rPr>
              <w:lastRenderedPageBreak/>
              <w:t>4.9.1.1</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200</w:t>
            </w:r>
          </w:p>
        </w:tc>
        <w:tc>
          <w:tcPr>
            <w:tcW w:w="280"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2</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65</w:t>
            </w:r>
          </w:p>
        </w:tc>
        <w:tc>
          <w:tcPr>
            <w:tcW w:w="467" w:type="pct"/>
          </w:tcPr>
          <w:p w:rsidR="007E2972" w:rsidRPr="00F05C5C" w:rsidRDefault="007E2972" w:rsidP="00454A88">
            <w:pPr>
              <w:widowControl w:val="0"/>
              <w:jc w:val="center"/>
              <w:rPr>
                <w:color w:val="000000"/>
                <w:sz w:val="20"/>
                <w:szCs w:val="20"/>
              </w:rPr>
            </w:pPr>
            <w:r w:rsidRPr="00F05C5C">
              <w:rPr>
                <w:color w:val="000000"/>
                <w:sz w:val="20"/>
                <w:szCs w:val="20"/>
              </w:rPr>
              <w:t>2</w:t>
            </w:r>
          </w:p>
        </w:tc>
        <w:tc>
          <w:tcPr>
            <w:tcW w:w="1028" w:type="pct"/>
          </w:tcPr>
          <w:p w:rsidR="007E2972" w:rsidRPr="00F05C5C" w:rsidRDefault="007E2972" w:rsidP="00454A88">
            <w:pPr>
              <w:widowControl w:val="0"/>
              <w:jc w:val="both"/>
              <w:rPr>
                <w:color w:val="000000"/>
                <w:sz w:val="20"/>
                <w:szCs w:val="20"/>
              </w:rPr>
            </w:pPr>
            <w:r w:rsidRPr="00F05C5C">
              <w:rPr>
                <w:color w:val="000000"/>
                <w:sz w:val="20"/>
                <w:szCs w:val="20"/>
              </w:rPr>
              <w:t>Минимальный отступ от красной линии - 3 при осуществлении нового строительства</w:t>
            </w:r>
          </w:p>
        </w:tc>
      </w:tr>
      <w:tr w:rsidR="007E2972" w:rsidRPr="00F05C5C" w:rsidTr="00454A88">
        <w:trPr>
          <w:trHeight w:val="20"/>
        </w:trPr>
        <w:tc>
          <w:tcPr>
            <w:tcW w:w="546" w:type="pct"/>
          </w:tcPr>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lastRenderedPageBreak/>
              <w:t>Обеспечение дорожного отдыха</w:t>
            </w:r>
          </w:p>
        </w:tc>
        <w:tc>
          <w:tcPr>
            <w:tcW w:w="1117" w:type="pct"/>
          </w:tcPr>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346" w:type="pct"/>
          </w:tcPr>
          <w:p w:rsidR="007E2972" w:rsidRPr="00F05C5C" w:rsidRDefault="007E2972" w:rsidP="00454A88">
            <w:pPr>
              <w:widowControl w:val="0"/>
              <w:jc w:val="center"/>
              <w:rPr>
                <w:rFonts w:eastAsia="Calibri"/>
                <w:color w:val="000000"/>
                <w:sz w:val="20"/>
                <w:szCs w:val="20"/>
              </w:rPr>
            </w:pPr>
            <w:r w:rsidRPr="00F05C5C">
              <w:rPr>
                <w:rFonts w:eastAsia="Calibri"/>
                <w:color w:val="000000"/>
                <w:sz w:val="20"/>
                <w:szCs w:val="20"/>
              </w:rPr>
              <w:t>4.9.1.2</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200</w:t>
            </w:r>
          </w:p>
        </w:tc>
        <w:tc>
          <w:tcPr>
            <w:tcW w:w="280"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2</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65</w:t>
            </w:r>
          </w:p>
        </w:tc>
        <w:tc>
          <w:tcPr>
            <w:tcW w:w="467" w:type="pct"/>
          </w:tcPr>
          <w:p w:rsidR="007E2972" w:rsidRPr="00F05C5C" w:rsidRDefault="007E2972" w:rsidP="00454A88">
            <w:pPr>
              <w:widowControl w:val="0"/>
              <w:jc w:val="center"/>
              <w:rPr>
                <w:color w:val="000000"/>
                <w:sz w:val="20"/>
                <w:szCs w:val="20"/>
              </w:rPr>
            </w:pPr>
            <w:r w:rsidRPr="00F05C5C">
              <w:rPr>
                <w:color w:val="000000"/>
                <w:sz w:val="20"/>
                <w:szCs w:val="20"/>
              </w:rPr>
              <w:t>2</w:t>
            </w:r>
          </w:p>
        </w:tc>
        <w:tc>
          <w:tcPr>
            <w:tcW w:w="1028" w:type="pct"/>
          </w:tcPr>
          <w:p w:rsidR="007E2972" w:rsidRPr="00F05C5C" w:rsidRDefault="007E2972" w:rsidP="00454A88">
            <w:pPr>
              <w:widowControl w:val="0"/>
              <w:jc w:val="both"/>
              <w:rPr>
                <w:color w:val="000000"/>
                <w:sz w:val="20"/>
                <w:szCs w:val="20"/>
              </w:rPr>
            </w:pPr>
            <w:r w:rsidRPr="00F05C5C">
              <w:rPr>
                <w:color w:val="000000"/>
                <w:sz w:val="20"/>
                <w:szCs w:val="20"/>
              </w:rPr>
              <w:t>Минимальный отступ от красной линии - 3 при осуществлении нового строительства</w:t>
            </w:r>
          </w:p>
        </w:tc>
      </w:tr>
      <w:tr w:rsidR="007E2972" w:rsidRPr="00F05C5C" w:rsidTr="00454A88">
        <w:trPr>
          <w:trHeight w:val="20"/>
        </w:trPr>
        <w:tc>
          <w:tcPr>
            <w:tcW w:w="546" w:type="pct"/>
          </w:tcPr>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t>Автомобильные мойки</w:t>
            </w:r>
          </w:p>
        </w:tc>
        <w:tc>
          <w:tcPr>
            <w:tcW w:w="1117" w:type="pct"/>
          </w:tcPr>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t>Размещение автомобильных моек, а также размещение магазинов сопутствующей торговли</w:t>
            </w:r>
          </w:p>
        </w:tc>
        <w:tc>
          <w:tcPr>
            <w:tcW w:w="346" w:type="pct"/>
          </w:tcPr>
          <w:p w:rsidR="007E2972" w:rsidRPr="00F05C5C" w:rsidRDefault="007E2972" w:rsidP="00454A88">
            <w:pPr>
              <w:widowControl w:val="0"/>
              <w:jc w:val="center"/>
              <w:rPr>
                <w:rFonts w:eastAsia="Calibri"/>
                <w:color w:val="000000"/>
                <w:sz w:val="20"/>
                <w:szCs w:val="20"/>
              </w:rPr>
            </w:pPr>
            <w:r w:rsidRPr="00F05C5C">
              <w:rPr>
                <w:rFonts w:eastAsia="Calibri"/>
                <w:color w:val="000000"/>
                <w:sz w:val="20"/>
                <w:szCs w:val="20"/>
              </w:rPr>
              <w:t>4.9.1.3</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200</w:t>
            </w:r>
          </w:p>
        </w:tc>
        <w:tc>
          <w:tcPr>
            <w:tcW w:w="280"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2</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65</w:t>
            </w:r>
          </w:p>
        </w:tc>
        <w:tc>
          <w:tcPr>
            <w:tcW w:w="467" w:type="pct"/>
          </w:tcPr>
          <w:p w:rsidR="007E2972" w:rsidRPr="00F05C5C" w:rsidRDefault="007E2972" w:rsidP="00454A88">
            <w:pPr>
              <w:widowControl w:val="0"/>
              <w:jc w:val="center"/>
              <w:rPr>
                <w:color w:val="000000"/>
                <w:sz w:val="20"/>
                <w:szCs w:val="20"/>
              </w:rPr>
            </w:pPr>
            <w:r w:rsidRPr="00F05C5C">
              <w:rPr>
                <w:color w:val="000000"/>
                <w:sz w:val="20"/>
                <w:szCs w:val="20"/>
              </w:rPr>
              <w:t>2</w:t>
            </w:r>
          </w:p>
        </w:tc>
        <w:tc>
          <w:tcPr>
            <w:tcW w:w="1028" w:type="pct"/>
          </w:tcPr>
          <w:p w:rsidR="007E2972" w:rsidRPr="00F05C5C" w:rsidRDefault="007E2972" w:rsidP="00454A88">
            <w:pPr>
              <w:widowControl w:val="0"/>
              <w:jc w:val="both"/>
              <w:rPr>
                <w:color w:val="000000"/>
                <w:sz w:val="20"/>
                <w:szCs w:val="20"/>
              </w:rPr>
            </w:pPr>
            <w:r w:rsidRPr="00F05C5C">
              <w:rPr>
                <w:color w:val="000000"/>
                <w:sz w:val="20"/>
                <w:szCs w:val="20"/>
              </w:rPr>
              <w:t>Минимальный отступ от красной линии - 3 при осуществлении нового строительства</w:t>
            </w:r>
          </w:p>
        </w:tc>
      </w:tr>
      <w:tr w:rsidR="007E2972" w:rsidRPr="00F05C5C" w:rsidTr="00454A88">
        <w:trPr>
          <w:trHeight w:val="20"/>
        </w:trPr>
        <w:tc>
          <w:tcPr>
            <w:tcW w:w="546" w:type="pct"/>
          </w:tcPr>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t>Ремонт автомобилей</w:t>
            </w:r>
          </w:p>
        </w:tc>
        <w:tc>
          <w:tcPr>
            <w:tcW w:w="1117" w:type="pct"/>
          </w:tcPr>
          <w:p w:rsidR="007E2972" w:rsidRPr="00F05C5C" w:rsidRDefault="007E2972" w:rsidP="00454A88">
            <w:pPr>
              <w:widowControl w:val="0"/>
              <w:jc w:val="both"/>
              <w:rPr>
                <w:rFonts w:eastAsia="Calibri"/>
                <w:color w:val="000000"/>
                <w:sz w:val="20"/>
                <w:szCs w:val="20"/>
              </w:rPr>
            </w:pPr>
            <w:r w:rsidRPr="00F05C5C">
              <w:rPr>
                <w:rFonts w:eastAsia="Calibri"/>
                <w:color w:val="000000"/>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46" w:type="pct"/>
          </w:tcPr>
          <w:p w:rsidR="007E2972" w:rsidRPr="00F05C5C" w:rsidRDefault="007E2972" w:rsidP="00454A88">
            <w:pPr>
              <w:widowControl w:val="0"/>
              <w:jc w:val="center"/>
              <w:rPr>
                <w:rFonts w:eastAsia="Calibri"/>
                <w:color w:val="000000"/>
                <w:sz w:val="20"/>
                <w:szCs w:val="20"/>
              </w:rPr>
            </w:pPr>
            <w:r w:rsidRPr="00F05C5C">
              <w:rPr>
                <w:rFonts w:eastAsia="Calibri"/>
                <w:color w:val="000000"/>
                <w:sz w:val="20"/>
                <w:szCs w:val="20"/>
              </w:rPr>
              <w:t>4.9.1.4</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200</w:t>
            </w:r>
          </w:p>
        </w:tc>
        <w:tc>
          <w:tcPr>
            <w:tcW w:w="280"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2</w:t>
            </w:r>
          </w:p>
        </w:tc>
        <w:tc>
          <w:tcPr>
            <w:tcW w:w="327" w:type="pct"/>
          </w:tcPr>
          <w:p w:rsidR="007E2972" w:rsidRPr="00F05C5C" w:rsidRDefault="007E2972" w:rsidP="00454A88">
            <w:pPr>
              <w:widowControl w:val="0"/>
              <w:jc w:val="center"/>
              <w:rPr>
                <w:color w:val="000000"/>
                <w:sz w:val="20"/>
                <w:szCs w:val="20"/>
              </w:rPr>
            </w:pPr>
            <w:r w:rsidRPr="00F05C5C">
              <w:rPr>
                <w:color w:val="000000"/>
                <w:sz w:val="20"/>
                <w:szCs w:val="20"/>
              </w:rPr>
              <w:t>-</w:t>
            </w:r>
          </w:p>
        </w:tc>
        <w:tc>
          <w:tcPr>
            <w:tcW w:w="281" w:type="pct"/>
          </w:tcPr>
          <w:p w:rsidR="007E2972" w:rsidRPr="00F05C5C" w:rsidRDefault="007E2972" w:rsidP="00454A88">
            <w:pPr>
              <w:widowControl w:val="0"/>
              <w:jc w:val="center"/>
              <w:rPr>
                <w:color w:val="000000"/>
                <w:sz w:val="20"/>
                <w:szCs w:val="20"/>
              </w:rPr>
            </w:pPr>
            <w:r w:rsidRPr="00F05C5C">
              <w:rPr>
                <w:color w:val="000000"/>
                <w:sz w:val="20"/>
                <w:szCs w:val="20"/>
              </w:rPr>
              <w:t>65</w:t>
            </w:r>
          </w:p>
        </w:tc>
        <w:tc>
          <w:tcPr>
            <w:tcW w:w="467" w:type="pct"/>
          </w:tcPr>
          <w:p w:rsidR="007E2972" w:rsidRPr="00F05C5C" w:rsidRDefault="007E2972" w:rsidP="00454A88">
            <w:pPr>
              <w:widowControl w:val="0"/>
              <w:jc w:val="center"/>
              <w:rPr>
                <w:color w:val="000000"/>
                <w:sz w:val="20"/>
                <w:szCs w:val="20"/>
              </w:rPr>
            </w:pPr>
            <w:r w:rsidRPr="00F05C5C">
              <w:rPr>
                <w:color w:val="000000"/>
                <w:sz w:val="20"/>
                <w:szCs w:val="20"/>
              </w:rPr>
              <w:t>2</w:t>
            </w:r>
          </w:p>
        </w:tc>
        <w:tc>
          <w:tcPr>
            <w:tcW w:w="1028" w:type="pct"/>
          </w:tcPr>
          <w:p w:rsidR="007E2972" w:rsidRPr="00F05C5C" w:rsidRDefault="007E2972" w:rsidP="00454A88">
            <w:pPr>
              <w:widowControl w:val="0"/>
              <w:jc w:val="both"/>
              <w:rPr>
                <w:color w:val="000000"/>
                <w:sz w:val="20"/>
                <w:szCs w:val="20"/>
              </w:rPr>
            </w:pPr>
            <w:r w:rsidRPr="00F05C5C">
              <w:rPr>
                <w:color w:val="000000"/>
                <w:sz w:val="20"/>
                <w:szCs w:val="20"/>
              </w:rPr>
              <w:t>Минимальный отступ от красной линии - 3 при осуществлении нового строительства</w:t>
            </w:r>
          </w:p>
        </w:tc>
      </w:tr>
      <w:tr w:rsidR="007E2972" w:rsidRPr="00F05C5C" w:rsidTr="00454A88">
        <w:trPr>
          <w:trHeight w:val="20"/>
        </w:trPr>
        <w:tc>
          <w:tcPr>
            <w:tcW w:w="5000" w:type="pct"/>
            <w:gridSpan w:val="10"/>
          </w:tcPr>
          <w:p w:rsidR="007E2972" w:rsidRPr="00F05C5C" w:rsidRDefault="007E2972" w:rsidP="00454A88">
            <w:pPr>
              <w:widowControl w:val="0"/>
              <w:jc w:val="center"/>
              <w:rPr>
                <w:b/>
                <w:bCs/>
                <w:color w:val="000000"/>
                <w:sz w:val="20"/>
                <w:szCs w:val="20"/>
              </w:rPr>
            </w:pPr>
            <w:r w:rsidRPr="00F05C5C">
              <w:rPr>
                <w:b/>
                <w:bCs/>
                <w:color w:val="000000"/>
                <w:sz w:val="20"/>
                <w:szCs w:val="20"/>
              </w:rPr>
              <w:t>Вспомогательные виды разрешенного использования не установлены</w:t>
            </w:r>
          </w:p>
        </w:tc>
      </w:tr>
    </w:tbl>
    <w:p w:rsidR="007E2972" w:rsidRPr="005F044F" w:rsidRDefault="007E2972" w:rsidP="007E2972">
      <w:pPr>
        <w:ind w:firstLine="540"/>
        <w:jc w:val="both"/>
      </w:pPr>
      <w:r w:rsidRPr="00F05C5C">
        <w:rPr>
          <w:rFonts w:ascii="Calibri" w:hAnsi="Calibri" w:cs="Calibri"/>
          <w:b/>
          <w:bCs/>
          <w:color w:val="000000"/>
        </w:rPr>
        <w:br w:type="page"/>
      </w:r>
    </w:p>
    <w:p w:rsidR="007E2972" w:rsidRDefault="007E2972" w:rsidP="007E2972">
      <w:pPr>
        <w:ind w:firstLine="540"/>
        <w:jc w:val="both"/>
        <w:rPr>
          <w:b/>
          <w:bCs/>
          <w:color w:val="FF0000"/>
        </w:rPr>
      </w:pPr>
    </w:p>
    <w:p w:rsidR="007E2972" w:rsidRDefault="007E2972" w:rsidP="007E2972">
      <w:pPr>
        <w:ind w:firstLine="540"/>
        <w:jc w:val="both"/>
        <w:rPr>
          <w:color w:val="000000"/>
        </w:rPr>
      </w:pPr>
      <w:r w:rsidRPr="005F044F">
        <w:rPr>
          <w:b/>
          <w:bCs/>
          <w:color w:val="000000"/>
        </w:rPr>
        <w:t>Ограничений (обременений) права:</w:t>
      </w:r>
      <w:r w:rsidRPr="005F044F">
        <w:rPr>
          <w:color w:val="000000"/>
        </w:rPr>
        <w:t xml:space="preserve"> не зарегистрировано.</w:t>
      </w:r>
    </w:p>
    <w:p w:rsidR="007E2972" w:rsidRPr="005F044F" w:rsidRDefault="007E2972" w:rsidP="007E2972">
      <w:pPr>
        <w:ind w:firstLine="540"/>
        <w:jc w:val="both"/>
        <w:rPr>
          <w:color w:val="000000"/>
        </w:rPr>
      </w:pPr>
      <w:r w:rsidRPr="000C1951">
        <w:rPr>
          <w:b/>
          <w:color w:val="000000"/>
        </w:rPr>
        <w:t>Вид приобретаемого права:</w:t>
      </w:r>
      <w:r>
        <w:rPr>
          <w:color w:val="000000"/>
        </w:rPr>
        <w:t xml:space="preserve"> аренда на 10 (Десять) лет.</w:t>
      </w:r>
    </w:p>
    <w:p w:rsidR="007E2972" w:rsidRPr="005F044F" w:rsidRDefault="007E2972" w:rsidP="007E2972">
      <w:pPr>
        <w:ind w:firstLine="540"/>
        <w:jc w:val="both"/>
        <w:rPr>
          <w:b/>
          <w:bCs/>
          <w:color w:val="000000"/>
          <w:u w:val="single"/>
        </w:rPr>
      </w:pPr>
      <w:r w:rsidRPr="005F044F">
        <w:rPr>
          <w:b/>
          <w:bCs/>
          <w:color w:val="000000"/>
          <w:u w:val="single"/>
        </w:rPr>
        <w:t>Технические условия подключения:</w:t>
      </w:r>
    </w:p>
    <w:p w:rsidR="007E2972" w:rsidRPr="00AC6FDC" w:rsidRDefault="007E2972" w:rsidP="007E2972">
      <w:pPr>
        <w:pStyle w:val="a3"/>
        <w:numPr>
          <w:ilvl w:val="0"/>
          <w:numId w:val="2"/>
        </w:numPr>
        <w:tabs>
          <w:tab w:val="left" w:pos="709"/>
          <w:tab w:val="left" w:pos="993"/>
        </w:tabs>
        <w:ind w:left="360"/>
        <w:jc w:val="both"/>
        <w:rPr>
          <w:rFonts w:ascii="Times New Roman" w:hAnsi="Times New Roman" w:cs="Times New Roman"/>
          <w:sz w:val="24"/>
          <w:szCs w:val="24"/>
          <w:u w:val="single"/>
        </w:rPr>
      </w:pPr>
      <w:r w:rsidRPr="00AC6FDC">
        <w:rPr>
          <w:rFonts w:ascii="Times New Roman" w:hAnsi="Times New Roman" w:cs="Times New Roman"/>
          <w:u w:val="single"/>
        </w:rPr>
        <w:t>Теплоснабжение, горячее водоснабжение:</w:t>
      </w:r>
      <w:r w:rsidRPr="00AC6FDC">
        <w:rPr>
          <w:rFonts w:ascii="Times New Roman" w:hAnsi="Times New Roman" w:cs="Times New Roman"/>
        </w:rPr>
        <w:t xml:space="preserve"> </w:t>
      </w:r>
      <w:proofErr w:type="gramStart"/>
      <w:r w:rsidRPr="00AC6FDC">
        <w:rPr>
          <w:rFonts w:ascii="Times New Roman" w:hAnsi="Times New Roman" w:cs="Times New Roman"/>
        </w:rPr>
        <w:t xml:space="preserve">В соответствии с письмом АО «НОКК» от 12.12.2025 № </w:t>
      </w:r>
      <w:r w:rsidRPr="00AC6FDC">
        <w:rPr>
          <w:rFonts w:ascii="Times New Roman" w:hAnsi="Times New Roman" w:cs="Times New Roman"/>
          <w:sz w:val="24"/>
          <w:szCs w:val="24"/>
        </w:rPr>
        <w:t>5325-НК техническая возможность подключения объекта к системам теплоснабжения и горячего водоснабжения возможна в соответствии с Правилами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утвержденными постановлением Правительства РФ № 2115 от 31.11.2021 года</w:t>
      </w:r>
      <w:proofErr w:type="gramEnd"/>
      <w:r w:rsidRPr="00AC6FDC">
        <w:rPr>
          <w:rFonts w:ascii="Times New Roman" w:hAnsi="Times New Roman" w:cs="Times New Roman"/>
          <w:sz w:val="24"/>
          <w:szCs w:val="24"/>
        </w:rPr>
        <w:t>.</w:t>
      </w:r>
    </w:p>
    <w:p w:rsidR="007E2972" w:rsidRPr="002E4FA9" w:rsidRDefault="007E2972" w:rsidP="007E2972">
      <w:pPr>
        <w:pStyle w:val="a3"/>
        <w:numPr>
          <w:ilvl w:val="0"/>
          <w:numId w:val="2"/>
        </w:numPr>
        <w:tabs>
          <w:tab w:val="left" w:pos="709"/>
          <w:tab w:val="left" w:pos="993"/>
        </w:tabs>
        <w:ind w:left="36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Водоснабжение: </w:t>
      </w:r>
      <w:r w:rsidRPr="002E4FA9">
        <w:rPr>
          <w:rFonts w:ascii="Times New Roman" w:hAnsi="Times New Roman" w:cs="Times New Roman"/>
          <w:color w:val="000000"/>
          <w:sz w:val="24"/>
          <w:szCs w:val="24"/>
        </w:rPr>
        <w:t xml:space="preserve">в соответствии с письмом МУП «Водоканал» № </w:t>
      </w:r>
      <w:r>
        <w:rPr>
          <w:rFonts w:ascii="Times New Roman" w:hAnsi="Times New Roman" w:cs="Times New Roman"/>
          <w:color w:val="000000"/>
          <w:sz w:val="24"/>
          <w:szCs w:val="24"/>
        </w:rPr>
        <w:t xml:space="preserve">1266 </w:t>
      </w:r>
      <w:r w:rsidRPr="002E4FA9">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17.12</w:t>
      </w:r>
      <w:r w:rsidRPr="002E4FA9">
        <w:rPr>
          <w:rFonts w:ascii="Times New Roman" w:hAnsi="Times New Roman" w:cs="Times New Roman"/>
          <w:color w:val="000000"/>
          <w:sz w:val="24"/>
          <w:szCs w:val="24"/>
        </w:rPr>
        <w:t xml:space="preserve">.2025 года </w:t>
      </w:r>
      <w:r>
        <w:rPr>
          <w:rFonts w:ascii="Times New Roman" w:hAnsi="Times New Roman" w:cs="Times New Roman"/>
          <w:color w:val="000000"/>
          <w:sz w:val="24"/>
          <w:szCs w:val="24"/>
        </w:rPr>
        <w:t>место присоединения – существующая водопроводная сеть (по схеме). Давление в водопроводной сети на границе раздела эксплуатационной ответственности – 2,5 кгс/</w:t>
      </w:r>
      <w:proofErr w:type="gramStart"/>
      <w:r w:rsidRPr="00C81211">
        <w:rPr>
          <w:rFonts w:ascii="Times New Roman" w:hAnsi="Times New Roman" w:cs="Times New Roman"/>
          <w:color w:val="000000"/>
          <w:sz w:val="24"/>
          <w:szCs w:val="24"/>
        </w:rPr>
        <w:t>см</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 Максимальная разрешенная нагрузка по водоснабжению: 12,18 м</w:t>
      </w:r>
      <w:r>
        <w:rPr>
          <w:rFonts w:ascii="Times New Roman" w:hAnsi="Times New Roman" w:cs="Times New Roman"/>
          <w:color w:val="000000"/>
          <w:sz w:val="24"/>
          <w:szCs w:val="24"/>
          <w:vertAlign w:val="superscript"/>
        </w:rPr>
        <w:t xml:space="preserve">3 </w:t>
      </w:r>
      <w:r>
        <w:rPr>
          <w:rFonts w:ascii="Times New Roman" w:hAnsi="Times New Roman" w:cs="Times New Roman"/>
          <w:color w:val="000000"/>
          <w:sz w:val="24"/>
          <w:szCs w:val="24"/>
        </w:rPr>
        <w:t>/час. Диаметр существующего водопровода в точке подключения – 90 мм. Материал существующего водопровода в точке подключения – ПНД.</w:t>
      </w:r>
      <w:r w:rsidRPr="002E4FA9">
        <w:rPr>
          <w:rFonts w:ascii="Times New Roman" w:hAnsi="Times New Roman" w:cs="Times New Roman"/>
          <w:color w:val="000000"/>
          <w:sz w:val="24"/>
          <w:szCs w:val="24"/>
        </w:rPr>
        <w:t xml:space="preserve"> </w:t>
      </w:r>
      <w:r w:rsidRPr="00E12701">
        <w:rPr>
          <w:rFonts w:ascii="Times New Roman" w:hAnsi="Times New Roman" w:cs="Times New Roman"/>
          <w:color w:val="000000"/>
          <w:sz w:val="24"/>
          <w:szCs w:val="24"/>
        </w:rPr>
        <w:t xml:space="preserve">Срок действия технических условий до </w:t>
      </w:r>
      <w:r>
        <w:rPr>
          <w:rFonts w:ascii="Times New Roman" w:hAnsi="Times New Roman" w:cs="Times New Roman"/>
          <w:color w:val="000000"/>
          <w:sz w:val="24"/>
          <w:szCs w:val="24"/>
        </w:rPr>
        <w:t>17.12.</w:t>
      </w:r>
      <w:r w:rsidRPr="00E12701">
        <w:rPr>
          <w:rFonts w:ascii="Times New Roman" w:hAnsi="Times New Roman" w:cs="Times New Roman"/>
          <w:color w:val="000000"/>
          <w:sz w:val="24"/>
          <w:szCs w:val="24"/>
        </w:rPr>
        <w:t>2028 года.</w:t>
      </w:r>
    </w:p>
    <w:p w:rsidR="007E2972" w:rsidRPr="00E12701" w:rsidRDefault="007E2972" w:rsidP="007E2972">
      <w:pPr>
        <w:pStyle w:val="a3"/>
        <w:numPr>
          <w:ilvl w:val="0"/>
          <w:numId w:val="2"/>
        </w:numPr>
        <w:tabs>
          <w:tab w:val="left" w:pos="709"/>
          <w:tab w:val="left" w:pos="993"/>
        </w:tabs>
        <w:ind w:left="360"/>
        <w:jc w:val="both"/>
      </w:pPr>
      <w:r w:rsidRPr="009A3DD7">
        <w:rPr>
          <w:rFonts w:ascii="Times New Roman" w:hAnsi="Times New Roman" w:cs="Times New Roman"/>
          <w:color w:val="000000"/>
          <w:sz w:val="24"/>
          <w:szCs w:val="24"/>
          <w:u w:val="single"/>
        </w:rPr>
        <w:t>Водо</w:t>
      </w:r>
      <w:r w:rsidRPr="009A3DD7">
        <w:rPr>
          <w:rFonts w:ascii="Times New Roman" w:hAnsi="Times New Roman" w:cs="Times New Roman"/>
          <w:color w:val="000000"/>
          <w:u w:val="single"/>
        </w:rPr>
        <w:t>отвед</w:t>
      </w:r>
      <w:r w:rsidRPr="009A3DD7">
        <w:rPr>
          <w:rFonts w:ascii="Times New Roman" w:hAnsi="Times New Roman" w:cs="Times New Roman"/>
          <w:color w:val="000000"/>
          <w:sz w:val="24"/>
          <w:szCs w:val="24"/>
          <w:u w:val="single"/>
        </w:rPr>
        <w:t>ение</w:t>
      </w:r>
      <w:r w:rsidRPr="00E12701">
        <w:rPr>
          <w:rFonts w:ascii="Times New Roman" w:hAnsi="Times New Roman" w:cs="Times New Roman"/>
          <w:color w:val="000000"/>
          <w:sz w:val="24"/>
          <w:szCs w:val="24"/>
          <w:u w:val="single"/>
        </w:rPr>
        <w:t>:</w:t>
      </w:r>
      <w:r w:rsidRPr="00E12701">
        <w:rPr>
          <w:rFonts w:ascii="Times New Roman" w:hAnsi="Times New Roman" w:cs="Times New Roman"/>
          <w:color w:val="000000"/>
          <w:sz w:val="24"/>
          <w:szCs w:val="24"/>
        </w:rPr>
        <w:t xml:space="preserve"> в соответствии с письмом МУП «Водоканал» № </w:t>
      </w:r>
      <w:r>
        <w:rPr>
          <w:rFonts w:ascii="Times New Roman" w:hAnsi="Times New Roman" w:cs="Times New Roman"/>
          <w:color w:val="000000"/>
          <w:sz w:val="24"/>
          <w:szCs w:val="24"/>
        </w:rPr>
        <w:t>1267</w:t>
      </w:r>
      <w:r w:rsidRPr="00E12701">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17.12</w:t>
      </w:r>
      <w:r w:rsidRPr="00E12701">
        <w:rPr>
          <w:rFonts w:ascii="Times New Roman" w:hAnsi="Times New Roman" w:cs="Times New Roman"/>
          <w:color w:val="000000"/>
          <w:sz w:val="24"/>
          <w:szCs w:val="24"/>
        </w:rPr>
        <w:t>.2025 года диаметр существующей канализационной сети в точке подключения – 300 мм. Максимальная разрешенная нагрузка на водоотведение – 7,2 м</w:t>
      </w:r>
      <w:r w:rsidRPr="00E12701">
        <w:rPr>
          <w:rFonts w:ascii="Times New Roman" w:hAnsi="Times New Roman" w:cs="Times New Roman"/>
          <w:color w:val="000000"/>
          <w:sz w:val="24"/>
          <w:szCs w:val="24"/>
          <w:vertAlign w:val="superscript"/>
        </w:rPr>
        <w:t>3</w:t>
      </w:r>
      <w:r w:rsidRPr="00E12701">
        <w:rPr>
          <w:rFonts w:ascii="Times New Roman" w:hAnsi="Times New Roman" w:cs="Times New Roman"/>
          <w:color w:val="000000"/>
          <w:sz w:val="24"/>
          <w:szCs w:val="24"/>
        </w:rPr>
        <w:t xml:space="preserve">/час. Место присоединения – существующая канализационная сеть (согласно схеме). </w:t>
      </w:r>
      <w:r>
        <w:rPr>
          <w:rFonts w:ascii="Times New Roman" w:hAnsi="Times New Roman" w:cs="Times New Roman"/>
          <w:color w:val="000000"/>
          <w:sz w:val="24"/>
          <w:szCs w:val="24"/>
        </w:rPr>
        <w:t xml:space="preserve">Материал существующей канализационной сети в точке подключения: труба асбестоцементная. </w:t>
      </w:r>
      <w:r w:rsidRPr="00E12701">
        <w:rPr>
          <w:rFonts w:ascii="Times New Roman" w:hAnsi="Times New Roman" w:cs="Times New Roman"/>
          <w:color w:val="000000"/>
          <w:sz w:val="24"/>
          <w:szCs w:val="24"/>
        </w:rPr>
        <w:t xml:space="preserve">Срок действия технических условий до </w:t>
      </w:r>
      <w:r>
        <w:rPr>
          <w:rFonts w:ascii="Times New Roman" w:hAnsi="Times New Roman" w:cs="Times New Roman"/>
          <w:color w:val="000000"/>
          <w:sz w:val="24"/>
          <w:szCs w:val="24"/>
        </w:rPr>
        <w:t>17.12.</w:t>
      </w:r>
      <w:r w:rsidRPr="00E12701">
        <w:rPr>
          <w:rFonts w:ascii="Times New Roman" w:hAnsi="Times New Roman" w:cs="Times New Roman"/>
          <w:color w:val="000000"/>
          <w:sz w:val="24"/>
          <w:szCs w:val="24"/>
        </w:rPr>
        <w:t>2028 года.</w:t>
      </w:r>
    </w:p>
    <w:p w:rsidR="007E2972" w:rsidRPr="00E12701" w:rsidRDefault="007E2972" w:rsidP="007E2972">
      <w:pPr>
        <w:pStyle w:val="a3"/>
        <w:numPr>
          <w:ilvl w:val="0"/>
          <w:numId w:val="2"/>
        </w:numPr>
        <w:tabs>
          <w:tab w:val="left" w:pos="709"/>
          <w:tab w:val="left" w:pos="993"/>
        </w:tabs>
        <w:ind w:left="360" w:firstLine="540"/>
        <w:jc w:val="both"/>
      </w:pPr>
      <w:r w:rsidRPr="00E12701">
        <w:rPr>
          <w:rFonts w:ascii="Times New Roman" w:hAnsi="Times New Roman" w:cs="Times New Roman"/>
          <w:color w:val="000000"/>
          <w:sz w:val="24"/>
          <w:szCs w:val="24"/>
          <w:u w:val="single"/>
        </w:rPr>
        <w:t>Электроснабжение:</w:t>
      </w:r>
      <w:r w:rsidRPr="00E12701">
        <w:rPr>
          <w:rFonts w:ascii="Times New Roman" w:hAnsi="Times New Roman" w:cs="Times New Roman"/>
          <w:color w:val="000000"/>
          <w:sz w:val="24"/>
          <w:szCs w:val="24"/>
        </w:rPr>
        <w:t xml:space="preserve"> в соответствии с письмом </w:t>
      </w:r>
      <w:proofErr w:type="spellStart"/>
      <w:r w:rsidRPr="00E12701">
        <w:rPr>
          <w:rFonts w:ascii="Times New Roman" w:hAnsi="Times New Roman" w:cs="Times New Roman"/>
          <w:color w:val="000000"/>
          <w:sz w:val="24"/>
          <w:szCs w:val="24"/>
        </w:rPr>
        <w:t>Шахунского</w:t>
      </w:r>
      <w:proofErr w:type="spellEnd"/>
      <w:r w:rsidRPr="00E12701">
        <w:rPr>
          <w:rFonts w:ascii="Times New Roman" w:hAnsi="Times New Roman" w:cs="Times New Roman"/>
          <w:color w:val="000000"/>
          <w:sz w:val="24"/>
          <w:szCs w:val="24"/>
        </w:rPr>
        <w:t xml:space="preserve"> района электрических сетей филиала ПАО «</w:t>
      </w:r>
      <w:proofErr w:type="spellStart"/>
      <w:r w:rsidRPr="00E12701">
        <w:rPr>
          <w:rFonts w:ascii="Times New Roman" w:hAnsi="Times New Roman" w:cs="Times New Roman"/>
          <w:color w:val="000000"/>
          <w:sz w:val="24"/>
          <w:szCs w:val="24"/>
        </w:rPr>
        <w:t>Россети</w:t>
      </w:r>
      <w:proofErr w:type="spellEnd"/>
      <w:r w:rsidRPr="00E12701">
        <w:rPr>
          <w:rFonts w:ascii="Times New Roman" w:hAnsi="Times New Roman" w:cs="Times New Roman"/>
          <w:color w:val="000000"/>
          <w:sz w:val="24"/>
          <w:szCs w:val="24"/>
        </w:rPr>
        <w:t xml:space="preserve"> Центр и Приволжья» - «Нижновэнерго» от </w:t>
      </w:r>
      <w:r>
        <w:rPr>
          <w:rFonts w:ascii="Times New Roman" w:hAnsi="Times New Roman" w:cs="Times New Roman"/>
          <w:color w:val="000000"/>
          <w:sz w:val="24"/>
          <w:szCs w:val="24"/>
        </w:rPr>
        <w:t>11.12</w:t>
      </w:r>
      <w:r w:rsidRPr="00E12701">
        <w:rPr>
          <w:rFonts w:ascii="Times New Roman" w:hAnsi="Times New Roman" w:cs="Times New Roman"/>
          <w:color w:val="000000"/>
          <w:sz w:val="24"/>
          <w:szCs w:val="24"/>
        </w:rPr>
        <w:t>.2025 № ННЭ/Р19/07-</w:t>
      </w:r>
      <w:r>
        <w:rPr>
          <w:rFonts w:ascii="Times New Roman" w:hAnsi="Times New Roman" w:cs="Times New Roman"/>
          <w:color w:val="000000"/>
          <w:sz w:val="24"/>
          <w:szCs w:val="24"/>
        </w:rPr>
        <w:t>447</w:t>
      </w:r>
      <w:r w:rsidRPr="00E12701">
        <w:rPr>
          <w:rFonts w:ascii="Times New Roman" w:hAnsi="Times New Roman" w:cs="Times New Roman"/>
          <w:color w:val="000000"/>
          <w:sz w:val="24"/>
          <w:szCs w:val="24"/>
        </w:rPr>
        <w:t xml:space="preserve"> имеется возможность реализации схемы электроснабжения объекта от сетей ПАО «</w:t>
      </w:r>
      <w:proofErr w:type="spellStart"/>
      <w:r w:rsidRPr="00E12701">
        <w:rPr>
          <w:rFonts w:ascii="Times New Roman" w:hAnsi="Times New Roman" w:cs="Times New Roman"/>
          <w:color w:val="000000"/>
          <w:sz w:val="24"/>
          <w:szCs w:val="24"/>
        </w:rPr>
        <w:t>Россети</w:t>
      </w:r>
      <w:proofErr w:type="spellEnd"/>
      <w:r w:rsidRPr="00E12701">
        <w:rPr>
          <w:rFonts w:ascii="Times New Roman" w:hAnsi="Times New Roman" w:cs="Times New Roman"/>
          <w:color w:val="000000"/>
          <w:sz w:val="24"/>
          <w:szCs w:val="24"/>
        </w:rPr>
        <w:t xml:space="preserve"> Центр и Приволжье» - «Нижновэнерго». Плата за  технологическое присоединение будет определяться в соответствии с Решением региональной службы по тарифам Нижегородской области. Основанием для начала разработки проектно-сметной документации и трасс инженерных коммуникаций является подключение технических условий на электроснабжение в филиале ПАО «</w:t>
      </w:r>
      <w:proofErr w:type="spellStart"/>
      <w:r w:rsidRPr="00E12701">
        <w:rPr>
          <w:rFonts w:ascii="Times New Roman" w:hAnsi="Times New Roman" w:cs="Times New Roman"/>
          <w:color w:val="000000"/>
          <w:sz w:val="24"/>
          <w:szCs w:val="24"/>
        </w:rPr>
        <w:t>Россети</w:t>
      </w:r>
      <w:proofErr w:type="spellEnd"/>
      <w:r w:rsidRPr="00E12701">
        <w:rPr>
          <w:rFonts w:ascii="Times New Roman" w:hAnsi="Times New Roman" w:cs="Times New Roman"/>
          <w:color w:val="000000"/>
          <w:sz w:val="24"/>
          <w:szCs w:val="24"/>
        </w:rPr>
        <w:t xml:space="preserve"> Центр и Приволжье» - «Нижновэнерго». Для возможности реализации схем электроснабжения  необходимо предусмотреть размещение электросетевых объектов от центра питания до земельных участков в соответствующих документах территории планирования. Срок действия технических условий – в соответствии с внутренними документами ПАО «</w:t>
      </w:r>
      <w:proofErr w:type="spellStart"/>
      <w:r w:rsidRPr="00E12701">
        <w:rPr>
          <w:rFonts w:ascii="Times New Roman" w:hAnsi="Times New Roman" w:cs="Times New Roman"/>
          <w:color w:val="000000"/>
          <w:sz w:val="24"/>
          <w:szCs w:val="24"/>
        </w:rPr>
        <w:t>Россети</w:t>
      </w:r>
      <w:proofErr w:type="spellEnd"/>
      <w:r w:rsidRPr="00E12701">
        <w:rPr>
          <w:rFonts w:ascii="Times New Roman" w:hAnsi="Times New Roman" w:cs="Times New Roman"/>
          <w:color w:val="000000"/>
          <w:sz w:val="24"/>
          <w:szCs w:val="24"/>
        </w:rPr>
        <w:t xml:space="preserve"> Центр и Приволжье» - «Нижновэнерго».</w:t>
      </w:r>
      <w:r w:rsidRPr="00E12701">
        <w:rPr>
          <w:rFonts w:ascii="Times New Roman" w:hAnsi="Times New Roman" w:cs="Times New Roman"/>
          <w:sz w:val="24"/>
          <w:szCs w:val="24"/>
        </w:rPr>
        <w:t xml:space="preserve"> </w:t>
      </w:r>
    </w:p>
    <w:p w:rsidR="007E2972" w:rsidRDefault="007E2972" w:rsidP="007E2972">
      <w:pPr>
        <w:tabs>
          <w:tab w:val="left" w:pos="709"/>
          <w:tab w:val="left" w:pos="993"/>
        </w:tabs>
        <w:ind w:left="360"/>
        <w:jc w:val="both"/>
      </w:pPr>
      <w:r w:rsidRPr="00F16E00">
        <w:t>Плата за подключение объекта капитального строительства к сетям инженерно-технического обеспечения и сроки выполнения мероприятий определяются в соответствии:</w:t>
      </w:r>
    </w:p>
    <w:p w:rsidR="007E2972" w:rsidRPr="00F16E00" w:rsidRDefault="007E2972" w:rsidP="007E2972">
      <w:pPr>
        <w:ind w:firstLine="540"/>
        <w:jc w:val="both"/>
      </w:pPr>
      <w:r w:rsidRPr="00F16E00">
        <w:t>- с постановлением Правительства РФ от 13.05.2013 № 406 «О государственном регулировании тарифов в сфере водоснабжения и водоотведения»;</w:t>
      </w:r>
    </w:p>
    <w:p w:rsidR="007E2972" w:rsidRPr="00F16E00" w:rsidRDefault="007E2972" w:rsidP="007E2972">
      <w:pPr>
        <w:ind w:firstLine="540"/>
        <w:jc w:val="both"/>
      </w:pPr>
      <w:r w:rsidRPr="00F16E00">
        <w:t>- с постановлением Правительства РФ от 22.10.2012 № 1075 «О ценообразовании в сфере теплоснабжения»;</w:t>
      </w:r>
    </w:p>
    <w:p w:rsidR="007E2972" w:rsidRPr="00F16E00" w:rsidRDefault="007E2972" w:rsidP="007E2972">
      <w:pPr>
        <w:ind w:firstLine="540"/>
        <w:jc w:val="both"/>
      </w:pPr>
      <w:r w:rsidRPr="00F16E00">
        <w:lastRenderedPageBreak/>
        <w:t>- с постановлением Правительства РФ от 29.12.2011 № 1178 «О ценообразовании в области регулируемых цен (тарифов) в электроэнергетике»;</w:t>
      </w:r>
    </w:p>
    <w:p w:rsidR="007E2972" w:rsidRPr="00F16E00" w:rsidRDefault="007E2972" w:rsidP="007E2972">
      <w:pPr>
        <w:ind w:firstLine="540"/>
        <w:jc w:val="both"/>
      </w:pPr>
      <w:proofErr w:type="gramStart"/>
      <w:r w:rsidRPr="00F16E00">
        <w:t>- с постановлени</w:t>
      </w:r>
      <w:r>
        <w:t>е</w:t>
      </w:r>
      <w:r w:rsidRPr="00F16E00">
        <w:t>м Правительства РФ от 30.11.2021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roofErr w:type="gramEnd"/>
    </w:p>
    <w:p w:rsidR="007E2972" w:rsidRPr="00116951" w:rsidRDefault="007E2972" w:rsidP="007E2972">
      <w:pPr>
        <w:ind w:firstLine="540"/>
        <w:jc w:val="both"/>
      </w:pPr>
      <w:proofErr w:type="gramStart"/>
      <w:r w:rsidRPr="00116951">
        <w:t xml:space="preserve">Начальный размер ежегодной арендной платы за земельный участок составляет </w:t>
      </w:r>
      <w:r>
        <w:rPr>
          <w:b/>
          <w:bCs/>
        </w:rPr>
        <w:t>63 600</w:t>
      </w:r>
      <w:r w:rsidRPr="00116951">
        <w:rPr>
          <w:b/>
          <w:bCs/>
        </w:rPr>
        <w:t xml:space="preserve"> (</w:t>
      </w:r>
      <w:r>
        <w:rPr>
          <w:b/>
          <w:bCs/>
        </w:rPr>
        <w:t>Шестьдесят три тысячи шестьсот</w:t>
      </w:r>
      <w:r w:rsidRPr="00116951">
        <w:rPr>
          <w:b/>
          <w:bCs/>
        </w:rPr>
        <w:t xml:space="preserve">) рублей 00 копеек </w:t>
      </w:r>
      <w:r w:rsidRPr="00116951">
        <w:t>(установлена по результатам рыночной оценки в соответствии с Федеральным законом от 29.07.1998 № 135-ФЗ «Об оценочной деятельности в Российской Федерации» на основании п. 12 ст. 39.11 Земельного кодекса Российской Федерации (без учета платы за подключение объекта к сетям инженерно-технического обеспечения)).</w:t>
      </w:r>
      <w:proofErr w:type="gramEnd"/>
    </w:p>
    <w:p w:rsidR="007E2972" w:rsidRPr="00116951" w:rsidRDefault="007E2972" w:rsidP="007E2972">
      <w:pPr>
        <w:ind w:firstLine="540"/>
        <w:jc w:val="both"/>
      </w:pPr>
      <w:r w:rsidRPr="00116951">
        <w:t xml:space="preserve">Шаг аукциона (3% от начальной цены предмета аукциона): </w:t>
      </w:r>
      <w:r>
        <w:rPr>
          <w:b/>
          <w:bCs/>
        </w:rPr>
        <w:t>1 908</w:t>
      </w:r>
      <w:r w:rsidRPr="00116951">
        <w:rPr>
          <w:b/>
          <w:bCs/>
        </w:rPr>
        <w:t xml:space="preserve"> (</w:t>
      </w:r>
      <w:r>
        <w:rPr>
          <w:b/>
          <w:bCs/>
        </w:rPr>
        <w:t>Одна тысяча девятьсот восемь</w:t>
      </w:r>
      <w:r w:rsidRPr="00116951">
        <w:rPr>
          <w:b/>
          <w:bCs/>
        </w:rPr>
        <w:t>) рублей 00 копеек.</w:t>
      </w:r>
    </w:p>
    <w:p w:rsidR="007E2972" w:rsidRPr="00116951" w:rsidRDefault="007E2972" w:rsidP="007E2972">
      <w:pPr>
        <w:ind w:firstLine="540"/>
        <w:jc w:val="both"/>
      </w:pPr>
      <w:r w:rsidRPr="00116951">
        <w:t xml:space="preserve">Размер задатка (20% от начальной цены предмета аукциона): </w:t>
      </w:r>
      <w:r>
        <w:rPr>
          <w:b/>
          <w:bCs/>
        </w:rPr>
        <w:t>12 720</w:t>
      </w:r>
      <w:r w:rsidRPr="00116951">
        <w:rPr>
          <w:b/>
          <w:bCs/>
        </w:rPr>
        <w:t xml:space="preserve"> (</w:t>
      </w:r>
      <w:r>
        <w:rPr>
          <w:b/>
          <w:bCs/>
        </w:rPr>
        <w:t>Двенадцать тысяч семьсот двадцать</w:t>
      </w:r>
      <w:r w:rsidRPr="00116951">
        <w:rPr>
          <w:b/>
          <w:bCs/>
        </w:rPr>
        <w:t>) рублей 00 копеек.</w:t>
      </w:r>
    </w:p>
    <w:p w:rsidR="007E2972" w:rsidRPr="00B97C9F" w:rsidRDefault="007E2972" w:rsidP="007E2972">
      <w:pPr>
        <w:ind w:firstLine="540"/>
        <w:jc w:val="both"/>
      </w:pPr>
      <w:r w:rsidRPr="00B97C9F">
        <w:t xml:space="preserve">Для участия в аукционе заявитель перечисляет задаток на счет организатора аукциона. </w:t>
      </w:r>
    </w:p>
    <w:p w:rsidR="007E2972" w:rsidRDefault="007E2972" w:rsidP="007E2972">
      <w:pPr>
        <w:ind w:firstLine="540"/>
        <w:jc w:val="both"/>
      </w:pPr>
      <w:proofErr w:type="gramStart"/>
      <w:r w:rsidRPr="006627F2">
        <w:rPr>
          <w:b/>
          <w:bCs/>
        </w:rPr>
        <w:t>Реквизиты для перечисления задатка:</w:t>
      </w:r>
      <w:r w:rsidRPr="00B97C9F">
        <w:t xml:space="preserve"> получатель УФК по Нижегородской области </w:t>
      </w:r>
      <w:r w:rsidRPr="00AC6FDC">
        <w:t>Финансовое управление город Шахунья, Отдел муниципального имущества и земельных ресурсов городского округа город Шахунья Нижегородской области,  лицевой счет 050366187), ИНН 5239005039, КПП 523901001, ЕКС № 40102810745370000024, казначейский счет (расчетный) № 03232643225580003200 ОКЦ № 1 ВВГУ Банка России// УФК по Нижегородской области г. Нижний Новгород БИК 012202102, ОКТМО 22558000, КБК 000 000 00000 00 0000</w:t>
      </w:r>
      <w:proofErr w:type="gramEnd"/>
      <w:r w:rsidRPr="00AC6FDC">
        <w:t xml:space="preserve"> 000 </w:t>
      </w:r>
      <w:r w:rsidRPr="00B97C9F">
        <w:t>назначение платежа – задаток за участие в аукционе на право заключения договора аренды земельного участка с к</w:t>
      </w:r>
      <w:r>
        <w:t>адастровым номером 52:03:0120008:1195</w:t>
      </w:r>
      <w:r w:rsidRPr="00B97C9F">
        <w:t>.</w:t>
      </w:r>
    </w:p>
    <w:p w:rsidR="007E2972" w:rsidRPr="00B97C9F" w:rsidRDefault="007E2972" w:rsidP="007E2972">
      <w:pPr>
        <w:ind w:firstLine="540"/>
        <w:jc w:val="both"/>
      </w:pPr>
      <w:r>
        <w:t>Задаток НДС не облагается и вносится единым платежом. Перечисление суммы задатка осуществляется заявителем. Исполнение обязанности по внесению суммы задатка третьими лицами не допускается.</w:t>
      </w:r>
    </w:p>
    <w:p w:rsidR="007E2972" w:rsidRPr="00AC6FDC" w:rsidRDefault="007E2972" w:rsidP="007E2972">
      <w:pPr>
        <w:ind w:firstLine="567"/>
        <w:jc w:val="both"/>
        <w:rPr>
          <w:u w:val="single"/>
        </w:rPr>
      </w:pPr>
      <w:r w:rsidRPr="00AC6FDC">
        <w:t xml:space="preserve">При освоении и пользовании земельного участка предусмотреть организацию и прочистку водоотводной канавы вдоль земельного участка, а также отвод хозяйственно - бытовых и ливневых стоков. Часть земельного участка занята деревьями и кустарниками.  </w:t>
      </w:r>
      <w:proofErr w:type="gramStart"/>
      <w:r w:rsidRPr="00AC6FDC">
        <w:t>Порядок вырубки зеленых насаждений, выдачи разрешений на вырубку, расчета восстановительной стоимости зеленых насаждений, расположенных на территории городского округа город Шахунья осуществляется арендатором на основании постановления администрации городского округа город Шахунья Нижегородской области от 03.02.2023 № 115 «Об утверждении Административного регламента по предоставлению муниципальной услуги «Выдача разрешений на право вырубки зеленых насаждений на территории городского округа город Шахунья Нижегородской области».</w:t>
      </w:r>
      <w:proofErr w:type="gramEnd"/>
    </w:p>
    <w:p w:rsidR="007E2972" w:rsidRDefault="007E2972" w:rsidP="007E2972">
      <w:pPr>
        <w:ind w:firstLine="540"/>
        <w:jc w:val="both"/>
        <w:rPr>
          <w:b/>
          <w:bCs/>
        </w:rPr>
      </w:pPr>
      <w:r w:rsidRPr="006627F2">
        <w:rPr>
          <w:b/>
          <w:bCs/>
        </w:rPr>
        <w:t>Осмотр земельного участка на местности,</w:t>
      </w:r>
      <w:r w:rsidRPr="005F044F">
        <w:t xml:space="preserve"> а также установление ориентиров границ земельного участка производится лицами, желающими участвовать в аукционе, </w:t>
      </w:r>
      <w:r w:rsidRPr="006627F2">
        <w:rPr>
          <w:b/>
          <w:bCs/>
        </w:rPr>
        <w:t>самостоятельно.</w:t>
      </w:r>
    </w:p>
    <w:p w:rsidR="007E2972" w:rsidRPr="003B777E" w:rsidRDefault="007E2972" w:rsidP="007E2972">
      <w:pPr>
        <w:ind w:firstLine="540"/>
        <w:jc w:val="both"/>
      </w:pPr>
      <w:r w:rsidRPr="003B777E">
        <w:rPr>
          <w:b/>
          <w:bCs/>
        </w:rPr>
        <w:t>Место приема заявок на участие  в аукционе</w:t>
      </w:r>
      <w:r w:rsidRPr="003B777E">
        <w:t xml:space="preserve"> (далее – Заявка) – электронная площадка (</w:t>
      </w:r>
      <w:hyperlink r:id="rId8" w:history="1">
        <w:r w:rsidRPr="003B777E">
          <w:t>http://www.fabrikant.ru/</w:t>
        </w:r>
      </w:hyperlink>
      <w:r w:rsidRPr="003B777E">
        <w:t>).</w:t>
      </w:r>
    </w:p>
    <w:p w:rsidR="007E2972" w:rsidRPr="00AC6FDC" w:rsidRDefault="007E2972" w:rsidP="007E2972">
      <w:pPr>
        <w:ind w:firstLine="540"/>
        <w:jc w:val="both"/>
      </w:pPr>
      <w:r w:rsidRPr="00AC6FDC">
        <w:rPr>
          <w:b/>
          <w:bCs/>
        </w:rPr>
        <w:t>Дата и время начала приема Заявок:</w:t>
      </w:r>
      <w:r w:rsidRPr="00AC6FDC">
        <w:t xml:space="preserve"> 04.05.2026 года в 09 час.00 мин. (время московское).</w:t>
      </w:r>
    </w:p>
    <w:p w:rsidR="007E2972" w:rsidRPr="00AC6FDC" w:rsidRDefault="007E2972" w:rsidP="007E2972">
      <w:pPr>
        <w:ind w:firstLine="540"/>
        <w:jc w:val="both"/>
      </w:pPr>
      <w:r w:rsidRPr="00AC6FDC">
        <w:rPr>
          <w:b/>
          <w:bCs/>
        </w:rPr>
        <w:t>Дата и время окончания приема Заявок:</w:t>
      </w:r>
      <w:r w:rsidRPr="00AC6FDC">
        <w:t xml:space="preserve"> 02.06.2026 года в 23 час.59 мин. (время московское).</w:t>
      </w:r>
    </w:p>
    <w:p w:rsidR="007E2972" w:rsidRPr="00AC6FDC" w:rsidRDefault="007E2972" w:rsidP="007E2972">
      <w:pPr>
        <w:ind w:firstLine="540"/>
        <w:jc w:val="both"/>
      </w:pPr>
      <w:r w:rsidRPr="00AC6FDC">
        <w:rPr>
          <w:b/>
          <w:bCs/>
        </w:rPr>
        <w:lastRenderedPageBreak/>
        <w:t>Дата рассмотрения Заявок:</w:t>
      </w:r>
      <w:r w:rsidRPr="00AC6FDC">
        <w:t xml:space="preserve"> 03.06.2026 года в 09 час. 00 мин. (время московское).</w:t>
      </w:r>
    </w:p>
    <w:p w:rsidR="007E2972" w:rsidRPr="00AC6FDC" w:rsidRDefault="007E2972" w:rsidP="007E2972">
      <w:pPr>
        <w:ind w:firstLine="540"/>
        <w:jc w:val="both"/>
      </w:pPr>
      <w:r w:rsidRPr="00AC6FDC">
        <w:rPr>
          <w:b/>
          <w:bCs/>
        </w:rPr>
        <w:t>Место проведения аукциона:</w:t>
      </w:r>
      <w:r w:rsidRPr="00AC6FDC">
        <w:t xml:space="preserve"> электронная площадка (</w:t>
      </w:r>
      <w:hyperlink r:id="rId9" w:history="1">
        <w:r w:rsidRPr="00AC6FDC">
          <w:t>http://www.fabrikant.ru/</w:t>
        </w:r>
      </w:hyperlink>
      <w:r w:rsidRPr="00AC6FDC">
        <w:t>)</w:t>
      </w:r>
    </w:p>
    <w:p w:rsidR="007E2972" w:rsidRPr="00AC6FDC" w:rsidRDefault="007E2972" w:rsidP="007E2972">
      <w:pPr>
        <w:ind w:firstLine="540"/>
        <w:jc w:val="both"/>
      </w:pPr>
      <w:r w:rsidRPr="00AC6FDC">
        <w:rPr>
          <w:b/>
          <w:bCs/>
        </w:rPr>
        <w:t>Дата и время начала проведения аукциона:</w:t>
      </w:r>
      <w:r w:rsidRPr="00AC6FDC">
        <w:t xml:space="preserve"> </w:t>
      </w:r>
      <w:r w:rsidR="004B230B">
        <w:t>05</w:t>
      </w:r>
      <w:bookmarkStart w:id="0" w:name="_GoBack"/>
      <w:bookmarkEnd w:id="0"/>
      <w:r w:rsidRPr="00AC6FDC">
        <w:t>.06.2026 года в 10 час. 00 мин.</w:t>
      </w:r>
    </w:p>
    <w:p w:rsidR="007E2972" w:rsidRPr="003B777E" w:rsidRDefault="007E2972" w:rsidP="007E2972">
      <w:pPr>
        <w:ind w:firstLine="540"/>
        <w:jc w:val="both"/>
      </w:pPr>
      <w:r w:rsidRPr="003B777E">
        <w:t>Организатор аукциона вправе отказаться от проведения аукциона не позднее, чем за 5 дней до дня окончания приема заявок.</w:t>
      </w:r>
    </w:p>
    <w:p w:rsidR="007E2972" w:rsidRPr="006A36ED" w:rsidRDefault="007E2972" w:rsidP="007E2972">
      <w:pPr>
        <w:jc w:val="both"/>
        <w:rPr>
          <w:b/>
          <w:color w:val="FF0000"/>
        </w:rPr>
      </w:pPr>
    </w:p>
    <w:p w:rsidR="007E2972" w:rsidRPr="006627F2" w:rsidRDefault="007E2972" w:rsidP="007E2972">
      <w:pPr>
        <w:numPr>
          <w:ilvl w:val="0"/>
          <w:numId w:val="1"/>
        </w:numPr>
        <w:spacing w:before="30" w:after="30"/>
        <w:jc w:val="center"/>
        <w:rPr>
          <w:b/>
        </w:rPr>
      </w:pPr>
      <w:r w:rsidRPr="006627F2">
        <w:rPr>
          <w:b/>
        </w:rPr>
        <w:t>Информационное обеспечение аукциона</w:t>
      </w:r>
    </w:p>
    <w:p w:rsidR="007E2972" w:rsidRPr="006627F2" w:rsidRDefault="007E2972" w:rsidP="007E2972">
      <w:pPr>
        <w:ind w:firstLine="360"/>
        <w:jc w:val="both"/>
      </w:pPr>
      <w:proofErr w:type="gramStart"/>
      <w:r w:rsidRPr="006627F2">
        <w:t xml:space="preserve">Извещение о проведении аукциона (далее-Извещение)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10" w:history="1">
        <w:r w:rsidRPr="006627F2">
          <w:rPr>
            <w:rStyle w:val="a5"/>
            <w:rFonts w:eastAsia="Arial Unicode MS"/>
            <w:lang w:val="en-US"/>
          </w:rPr>
          <w:t>www</w:t>
        </w:r>
        <w:r w:rsidRPr="006627F2">
          <w:rPr>
            <w:rStyle w:val="a5"/>
            <w:rFonts w:eastAsia="Arial Unicode MS"/>
          </w:rPr>
          <w:t>.</w:t>
        </w:r>
        <w:r w:rsidRPr="006627F2">
          <w:rPr>
            <w:rStyle w:val="a5"/>
            <w:rFonts w:eastAsia="Arial Unicode MS"/>
            <w:lang w:val="en-US"/>
          </w:rPr>
          <w:t>torgi</w:t>
        </w:r>
        <w:r w:rsidRPr="006627F2">
          <w:rPr>
            <w:rStyle w:val="a5"/>
            <w:rFonts w:eastAsia="Arial Unicode MS"/>
          </w:rPr>
          <w:t>.</w:t>
        </w:r>
        <w:r w:rsidRPr="006627F2">
          <w:rPr>
            <w:rStyle w:val="a5"/>
            <w:rFonts w:eastAsia="Arial Unicode MS"/>
            <w:lang w:val="en-US"/>
          </w:rPr>
          <w:t>gov</w:t>
        </w:r>
        <w:r w:rsidRPr="006627F2">
          <w:rPr>
            <w:rStyle w:val="a5"/>
            <w:rFonts w:eastAsia="Arial Unicode MS"/>
          </w:rPr>
          <w:t>.</w:t>
        </w:r>
        <w:r w:rsidRPr="006627F2">
          <w:rPr>
            <w:rStyle w:val="a5"/>
            <w:rFonts w:eastAsia="Arial Unicode MS"/>
            <w:lang w:val="en-US"/>
          </w:rPr>
          <w:t>ru</w:t>
        </w:r>
      </w:hyperlink>
      <w:r w:rsidRPr="006627F2">
        <w:t xml:space="preserve"> (далее официальный сайт торгов), на официальном сайте администрации </w:t>
      </w:r>
      <w:r>
        <w:t>муниципального</w:t>
      </w:r>
      <w:r w:rsidRPr="006627F2">
        <w:t xml:space="preserve"> округа город Шахунья Нижегородской области, на электронной площадке: </w:t>
      </w:r>
      <w:hyperlink r:id="rId11" w:history="1">
        <w:r w:rsidRPr="006627F2">
          <w:rPr>
            <w:rStyle w:val="a5"/>
            <w:rFonts w:eastAsia="Arial Unicode MS"/>
          </w:rPr>
          <w:t>www.fabrikant.ru</w:t>
        </w:r>
      </w:hyperlink>
      <w:r w:rsidRPr="006627F2">
        <w:t xml:space="preserve"> (далее электронная площадка) в соответствии  с действующим законодательством.</w:t>
      </w:r>
      <w:proofErr w:type="gramEnd"/>
    </w:p>
    <w:p w:rsidR="007E2972" w:rsidRPr="006627F2" w:rsidRDefault="007E2972" w:rsidP="007E2972">
      <w:pPr>
        <w:ind w:firstLine="360"/>
      </w:pPr>
    </w:p>
    <w:p w:rsidR="007E2972" w:rsidRPr="006627F2" w:rsidRDefault="007E2972" w:rsidP="007E2972">
      <w:pPr>
        <w:numPr>
          <w:ilvl w:val="0"/>
          <w:numId w:val="1"/>
        </w:numPr>
        <w:spacing w:before="30" w:after="30"/>
        <w:jc w:val="center"/>
        <w:rPr>
          <w:b/>
        </w:rPr>
      </w:pPr>
      <w:r w:rsidRPr="006627F2">
        <w:rPr>
          <w:b/>
        </w:rPr>
        <w:t>Требования к заявителям</w:t>
      </w:r>
    </w:p>
    <w:p w:rsidR="007E2972" w:rsidRPr="006627F2" w:rsidRDefault="007E2972" w:rsidP="007E2972">
      <w:pPr>
        <w:ind w:left="142" w:firstLine="348"/>
        <w:jc w:val="both"/>
      </w:pPr>
      <w:r w:rsidRPr="006627F2">
        <w:t>Заявки на участие в аукционе могут подавать любые лица в соответствии с требованиями аукционной документации и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в качестве физического лица на электронной площадке в соответствии с регламентом Оператора площадки.</w:t>
      </w:r>
    </w:p>
    <w:p w:rsidR="007E2972" w:rsidRPr="006627F2" w:rsidRDefault="007E2972" w:rsidP="007E2972">
      <w:pPr>
        <w:ind w:left="360" w:firstLine="348"/>
        <w:jc w:val="both"/>
      </w:pPr>
    </w:p>
    <w:p w:rsidR="007E2972" w:rsidRPr="006627F2" w:rsidRDefault="007E2972" w:rsidP="007E2972">
      <w:pPr>
        <w:numPr>
          <w:ilvl w:val="0"/>
          <w:numId w:val="1"/>
        </w:numPr>
        <w:spacing w:before="30" w:after="30"/>
        <w:jc w:val="center"/>
        <w:rPr>
          <w:b/>
        </w:rPr>
      </w:pPr>
      <w:r w:rsidRPr="006627F2">
        <w:rPr>
          <w:b/>
        </w:rPr>
        <w:t>Получение ЭП и регистрация (аккредитация) на электронной площадке</w:t>
      </w:r>
    </w:p>
    <w:p w:rsidR="007E2972" w:rsidRPr="006627F2" w:rsidRDefault="007E2972" w:rsidP="007E2972">
      <w:pPr>
        <w:tabs>
          <w:tab w:val="left" w:pos="993"/>
        </w:tabs>
        <w:ind w:left="142"/>
        <w:rPr>
          <w:b/>
        </w:rPr>
      </w:pPr>
    </w:p>
    <w:p w:rsidR="007E2972" w:rsidRPr="006627F2" w:rsidRDefault="007E2972" w:rsidP="007E2972">
      <w:pPr>
        <w:numPr>
          <w:ilvl w:val="1"/>
          <w:numId w:val="1"/>
        </w:numPr>
        <w:tabs>
          <w:tab w:val="left" w:pos="993"/>
        </w:tabs>
        <w:spacing w:before="30" w:after="30"/>
        <w:ind w:left="142" w:firstLine="360"/>
        <w:jc w:val="both"/>
      </w:pPr>
      <w:r w:rsidRPr="006627F2">
        <w:t>На официальном сайте торгов (</w:t>
      </w:r>
      <w:hyperlink r:id="rId12" w:history="1">
        <w:r w:rsidRPr="006627F2">
          <w:rPr>
            <w:rStyle w:val="a5"/>
            <w:rFonts w:eastAsia="Arial Unicode MS"/>
            <w:lang w:val="en-US"/>
          </w:rPr>
          <w:t>www</w:t>
        </w:r>
        <w:r w:rsidRPr="006627F2">
          <w:rPr>
            <w:rStyle w:val="a5"/>
            <w:rFonts w:eastAsia="Arial Unicode MS"/>
          </w:rPr>
          <w:t>.</w:t>
        </w:r>
        <w:proofErr w:type="spellStart"/>
        <w:r w:rsidRPr="006627F2">
          <w:rPr>
            <w:rStyle w:val="a5"/>
            <w:rFonts w:eastAsia="Arial Unicode MS"/>
            <w:lang w:val="en-US"/>
          </w:rPr>
          <w:t>torgi</w:t>
        </w:r>
        <w:proofErr w:type="spellEnd"/>
        <w:r w:rsidRPr="006627F2">
          <w:rPr>
            <w:rStyle w:val="a5"/>
            <w:rFonts w:eastAsia="Arial Unicode MS"/>
          </w:rPr>
          <w:t>.</w:t>
        </w:r>
        <w:proofErr w:type="spellStart"/>
        <w:r w:rsidRPr="006627F2">
          <w:rPr>
            <w:rStyle w:val="a5"/>
            <w:rFonts w:eastAsia="Arial Unicode MS"/>
            <w:lang w:val="en-US"/>
          </w:rPr>
          <w:t>gov</w:t>
        </w:r>
        <w:proofErr w:type="spellEnd"/>
        <w:r w:rsidRPr="006627F2">
          <w:rPr>
            <w:rStyle w:val="a5"/>
            <w:rFonts w:eastAsia="Arial Unicode MS"/>
          </w:rPr>
          <w:t>.</w:t>
        </w:r>
        <w:proofErr w:type="spellStart"/>
        <w:r w:rsidRPr="006627F2">
          <w:rPr>
            <w:rStyle w:val="a5"/>
            <w:rFonts w:eastAsia="Arial Unicode MS"/>
            <w:lang w:val="en-US"/>
          </w:rPr>
          <w:t>ru</w:t>
        </w:r>
        <w:proofErr w:type="spellEnd"/>
      </w:hyperlink>
      <w:r w:rsidRPr="006627F2">
        <w:t>) доступна регистрация Заявителей в реестре участников торгов, предусматривающая автоматическую регистрацию (аккредитацию) на электронной площадке.</w:t>
      </w:r>
    </w:p>
    <w:p w:rsidR="007E2972" w:rsidRPr="006627F2" w:rsidRDefault="007E2972" w:rsidP="007E2972">
      <w:pPr>
        <w:numPr>
          <w:ilvl w:val="1"/>
          <w:numId w:val="1"/>
        </w:numPr>
        <w:tabs>
          <w:tab w:val="left" w:pos="993"/>
        </w:tabs>
        <w:spacing w:before="30" w:after="30"/>
        <w:ind w:left="142" w:firstLine="360"/>
        <w:jc w:val="both"/>
      </w:pPr>
      <w:r w:rsidRPr="006627F2">
        <w:t>Для обеспечения доступа к подаче заявки и к участию в аукционе Заявителю необходимо пройти регистрацию (аккредитацию) на электронной площадке в соответствии с Регламентом и Инструкциями.</w:t>
      </w:r>
    </w:p>
    <w:p w:rsidR="007E2972" w:rsidRPr="006627F2" w:rsidRDefault="007E2972" w:rsidP="007E2972">
      <w:pPr>
        <w:numPr>
          <w:ilvl w:val="1"/>
          <w:numId w:val="1"/>
        </w:numPr>
        <w:tabs>
          <w:tab w:val="left" w:pos="993"/>
        </w:tabs>
        <w:spacing w:before="30" w:after="30"/>
        <w:ind w:left="142" w:firstLine="360"/>
        <w:jc w:val="both"/>
      </w:pPr>
      <w:r w:rsidRPr="006627F2">
        <w:t>Для прохождения процедуры регистрации на официальном сайте торгов (</w:t>
      </w:r>
      <w:hyperlink r:id="rId13" w:history="1">
        <w:r w:rsidRPr="006627F2">
          <w:rPr>
            <w:rStyle w:val="a5"/>
            <w:rFonts w:eastAsia="Arial Unicode MS"/>
            <w:lang w:val="en-US"/>
          </w:rPr>
          <w:t>www</w:t>
        </w:r>
        <w:r w:rsidRPr="006627F2">
          <w:rPr>
            <w:rStyle w:val="a5"/>
            <w:rFonts w:eastAsia="Arial Unicode MS"/>
          </w:rPr>
          <w:t>.</w:t>
        </w:r>
        <w:proofErr w:type="spellStart"/>
        <w:r w:rsidRPr="006627F2">
          <w:rPr>
            <w:rStyle w:val="a5"/>
            <w:rFonts w:eastAsia="Arial Unicode MS"/>
            <w:lang w:val="en-US"/>
          </w:rPr>
          <w:t>torgi</w:t>
        </w:r>
        <w:proofErr w:type="spellEnd"/>
        <w:r w:rsidRPr="006627F2">
          <w:rPr>
            <w:rStyle w:val="a5"/>
            <w:rFonts w:eastAsia="Arial Unicode MS"/>
          </w:rPr>
          <w:t>.</w:t>
        </w:r>
        <w:proofErr w:type="spellStart"/>
        <w:r w:rsidRPr="006627F2">
          <w:rPr>
            <w:rStyle w:val="a5"/>
            <w:rFonts w:eastAsia="Arial Unicode MS"/>
            <w:lang w:val="en-US"/>
          </w:rPr>
          <w:t>gov</w:t>
        </w:r>
        <w:proofErr w:type="spellEnd"/>
        <w:r w:rsidRPr="006627F2">
          <w:rPr>
            <w:rStyle w:val="a5"/>
            <w:rFonts w:eastAsia="Arial Unicode MS"/>
          </w:rPr>
          <w:t>.</w:t>
        </w:r>
        <w:proofErr w:type="spellStart"/>
        <w:r w:rsidRPr="006627F2">
          <w:rPr>
            <w:rStyle w:val="a5"/>
            <w:rFonts w:eastAsia="Arial Unicode MS"/>
            <w:lang w:val="en-US"/>
          </w:rPr>
          <w:t>ru</w:t>
        </w:r>
        <w:proofErr w:type="spellEnd"/>
      </w:hyperlink>
      <w:r w:rsidRPr="006627F2">
        <w:t xml:space="preserve">) или первичной регистрации на электронной площадке Заявителю необходимо иметь ЭП, </w:t>
      </w:r>
      <w:proofErr w:type="gramStart"/>
      <w:r w:rsidRPr="006627F2">
        <w:t>оформленную</w:t>
      </w:r>
      <w:proofErr w:type="gramEnd"/>
      <w:r w:rsidRPr="006627F2">
        <w:t xml:space="preserve"> в соответствии с требованиями действующего законодательства.</w:t>
      </w:r>
    </w:p>
    <w:p w:rsidR="007E2972" w:rsidRPr="006627F2" w:rsidRDefault="007E2972" w:rsidP="007E2972">
      <w:pPr>
        <w:numPr>
          <w:ilvl w:val="1"/>
          <w:numId w:val="1"/>
        </w:numPr>
        <w:tabs>
          <w:tab w:val="left" w:pos="993"/>
        </w:tabs>
        <w:spacing w:before="30" w:after="30"/>
        <w:ind w:left="142" w:firstLine="360"/>
        <w:jc w:val="both"/>
      </w:pPr>
      <w:r w:rsidRPr="006627F2">
        <w:t>В случае</w:t>
      </w:r>
      <w:proofErr w:type="gramStart"/>
      <w:r w:rsidRPr="006627F2">
        <w:t>,</w:t>
      </w:r>
      <w:proofErr w:type="gramEnd"/>
      <w:r w:rsidRPr="006627F2">
        <w:t xml:space="preserve">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rsidR="007E2972" w:rsidRPr="006627F2" w:rsidRDefault="007E2972" w:rsidP="007E2972">
      <w:pPr>
        <w:tabs>
          <w:tab w:val="left" w:pos="993"/>
        </w:tabs>
        <w:ind w:left="142" w:firstLine="360"/>
        <w:jc w:val="both"/>
      </w:pPr>
    </w:p>
    <w:p w:rsidR="007E2972" w:rsidRPr="006627F2" w:rsidRDefault="007E2972" w:rsidP="007E2972">
      <w:pPr>
        <w:numPr>
          <w:ilvl w:val="0"/>
          <w:numId w:val="1"/>
        </w:numPr>
        <w:tabs>
          <w:tab w:val="left" w:pos="993"/>
        </w:tabs>
        <w:spacing w:before="30" w:after="30"/>
        <w:ind w:left="142" w:firstLine="360"/>
        <w:jc w:val="center"/>
        <w:rPr>
          <w:b/>
        </w:rPr>
      </w:pPr>
      <w:r w:rsidRPr="006627F2">
        <w:rPr>
          <w:b/>
        </w:rPr>
        <w:t>Порядок внесения денежных сре</w:t>
      </w:r>
      <w:proofErr w:type="gramStart"/>
      <w:r w:rsidRPr="006627F2">
        <w:rPr>
          <w:b/>
        </w:rPr>
        <w:t>дств в к</w:t>
      </w:r>
      <w:proofErr w:type="gramEnd"/>
      <w:r w:rsidRPr="006627F2">
        <w:rPr>
          <w:b/>
        </w:rPr>
        <w:t>ачестве задатка</w:t>
      </w:r>
    </w:p>
    <w:p w:rsidR="007E2972" w:rsidRPr="006627F2" w:rsidRDefault="007E2972" w:rsidP="007E2972">
      <w:pPr>
        <w:numPr>
          <w:ilvl w:val="1"/>
          <w:numId w:val="1"/>
        </w:numPr>
        <w:tabs>
          <w:tab w:val="left" w:pos="993"/>
        </w:tabs>
        <w:spacing w:before="30" w:after="30"/>
        <w:ind w:left="142" w:firstLine="360"/>
        <w:jc w:val="both"/>
      </w:pPr>
      <w:r w:rsidRPr="006627F2">
        <w:t>Для участия в аукционе устанавливается требование о внесении задатка.</w:t>
      </w:r>
    </w:p>
    <w:p w:rsidR="007E2972" w:rsidRPr="006627F2" w:rsidRDefault="007E2972" w:rsidP="007E2972">
      <w:pPr>
        <w:numPr>
          <w:ilvl w:val="1"/>
          <w:numId w:val="1"/>
        </w:numPr>
        <w:tabs>
          <w:tab w:val="left" w:pos="993"/>
        </w:tabs>
        <w:spacing w:before="30" w:after="30"/>
        <w:ind w:left="142" w:firstLine="360"/>
        <w:jc w:val="both"/>
      </w:pPr>
      <w:r w:rsidRPr="006627F2">
        <w:t>В целях исполнения требований о внесении задатка для участия в аукционе Заявитель обеспечивает наличие денежных средств на счете Организатора торгов в размере, не менее суммы задатка, указанного в пункте 1 извещения.</w:t>
      </w:r>
    </w:p>
    <w:p w:rsidR="007E2972" w:rsidRPr="006627F2" w:rsidRDefault="007E2972" w:rsidP="007E2972">
      <w:pPr>
        <w:numPr>
          <w:ilvl w:val="1"/>
          <w:numId w:val="1"/>
        </w:numPr>
        <w:tabs>
          <w:tab w:val="left" w:pos="993"/>
        </w:tabs>
        <w:spacing w:before="30" w:after="30"/>
        <w:ind w:left="142" w:firstLine="360"/>
        <w:jc w:val="both"/>
      </w:pPr>
      <w:r w:rsidRPr="006871CA">
        <w:t>Перечисление денежных сре</w:t>
      </w:r>
      <w:proofErr w:type="gramStart"/>
      <w:r w:rsidRPr="006871CA">
        <w:t>дств пр</w:t>
      </w:r>
      <w:proofErr w:type="gramEnd"/>
      <w:r w:rsidRPr="006871CA">
        <w:t>оизводится по следующим реквизитам</w:t>
      </w:r>
      <w:r w:rsidRPr="006871CA">
        <w:rPr>
          <w:b/>
        </w:rPr>
        <w:t>:</w:t>
      </w:r>
      <w:r w:rsidRPr="006871CA">
        <w:t xml:space="preserve"> </w:t>
      </w:r>
      <w:proofErr w:type="gramStart"/>
      <w:r w:rsidRPr="006871CA">
        <w:t>Финансовое управление город Шахунья, Отдел муниципального имущества и земельных ресурсов городского округа город Шахунья Нижегородской области,  лицевой счет 050366187), ИНН 5239005039, КПП 523901001, ЕКС № 40102810745370000024, казначейский счет (расчетный) № 03232643225580003200 ОКЦ № 1 ВВГУ Банка России// УФК по Нижегородской области г. Нижний Новгород БИК 012202102, ОКТМО 22558000, КБК 000 000 00000 00 0000 000</w:t>
      </w:r>
      <w:r>
        <w:t xml:space="preserve"> </w:t>
      </w:r>
      <w:r w:rsidRPr="006627F2">
        <w:t xml:space="preserve">назначение платежа – задаток за участие в </w:t>
      </w:r>
      <w:r w:rsidRPr="006627F2">
        <w:lastRenderedPageBreak/>
        <w:t>аукционе на</w:t>
      </w:r>
      <w:proofErr w:type="gramEnd"/>
      <w:r w:rsidRPr="006627F2">
        <w:t xml:space="preserve"> право заключения договора аренды земельного участка с кадастровым номером </w:t>
      </w:r>
      <w:r>
        <w:t>52:03:0120008:1195</w:t>
      </w:r>
      <w:r w:rsidRPr="006627F2">
        <w:t>.</w:t>
      </w:r>
    </w:p>
    <w:p w:rsidR="007E2972" w:rsidRPr="006627F2" w:rsidRDefault="007E2972" w:rsidP="007E2972">
      <w:pPr>
        <w:numPr>
          <w:ilvl w:val="1"/>
          <w:numId w:val="1"/>
        </w:numPr>
        <w:tabs>
          <w:tab w:val="left" w:pos="993"/>
        </w:tabs>
        <w:spacing w:before="30" w:after="30"/>
        <w:ind w:left="142" w:firstLine="360"/>
        <w:jc w:val="both"/>
      </w:pPr>
      <w:r w:rsidRPr="006627F2">
        <w:t>Задаток возвращается Заявителю Организатором аукциона в следующих случаях:</w:t>
      </w:r>
    </w:p>
    <w:p w:rsidR="007E2972" w:rsidRPr="006627F2" w:rsidRDefault="007E2972" w:rsidP="007E2972">
      <w:pPr>
        <w:tabs>
          <w:tab w:val="left" w:pos="993"/>
        </w:tabs>
        <w:ind w:left="142" w:firstLine="360"/>
        <w:jc w:val="both"/>
      </w:pPr>
      <w:r w:rsidRPr="006627F2">
        <w:t>- если Заявитель отозвал Заявку до окончания срока приема Заявок в течение 3 (трех) рабочих дней со дня поступления уведомления об отзыве Заявки;</w:t>
      </w:r>
    </w:p>
    <w:p w:rsidR="007E2972" w:rsidRPr="006627F2" w:rsidRDefault="007E2972" w:rsidP="007E2972">
      <w:pPr>
        <w:tabs>
          <w:tab w:val="left" w:pos="993"/>
        </w:tabs>
        <w:ind w:left="142" w:firstLine="360"/>
        <w:jc w:val="both"/>
      </w:pPr>
      <w:r w:rsidRPr="006627F2">
        <w:t>- если Заявитель не допущен к участию в аукционе в течение 3 (трех) рабочих дней со дня оформления Протокола рассмотрения заявок на участие в аукционе;</w:t>
      </w:r>
    </w:p>
    <w:p w:rsidR="007E2972" w:rsidRPr="006627F2" w:rsidRDefault="007E2972" w:rsidP="007E2972">
      <w:pPr>
        <w:tabs>
          <w:tab w:val="left" w:pos="993"/>
        </w:tabs>
        <w:ind w:left="142" w:firstLine="360"/>
        <w:jc w:val="both"/>
      </w:pPr>
      <w:r w:rsidRPr="006627F2">
        <w:t>- если участник аукциона (далее-Участник), участвовал в аукционе, но не победил в нем в течение 3 (трех) дней со дня подписания Протокола о результатах аукциона.</w:t>
      </w:r>
    </w:p>
    <w:p w:rsidR="007E2972" w:rsidRPr="006627F2" w:rsidRDefault="007E2972" w:rsidP="007E2972">
      <w:pPr>
        <w:tabs>
          <w:tab w:val="left" w:pos="993"/>
        </w:tabs>
        <w:ind w:left="142" w:firstLine="360"/>
        <w:jc w:val="both"/>
      </w:pPr>
      <w:r w:rsidRPr="006627F2">
        <w:t>Возврат по реквизитам третьих лиц не осуществляется.</w:t>
      </w:r>
    </w:p>
    <w:p w:rsidR="007E2972" w:rsidRPr="006627F2" w:rsidRDefault="007E2972" w:rsidP="007E2972">
      <w:pPr>
        <w:numPr>
          <w:ilvl w:val="1"/>
          <w:numId w:val="1"/>
        </w:numPr>
        <w:tabs>
          <w:tab w:val="left" w:pos="993"/>
        </w:tabs>
        <w:spacing w:before="30" w:after="30"/>
        <w:ind w:left="142" w:firstLine="360"/>
        <w:jc w:val="both"/>
      </w:pPr>
      <w:r w:rsidRPr="006627F2">
        <w:t xml:space="preserve">Задаток Победителя аукциона, а также задаток иного лица, с которым договор аренды земельного участка заключается в соответствии </w:t>
      </w:r>
      <w:r w:rsidRPr="006871CA">
        <w:t xml:space="preserve">с пунктами 13 и 14 статьи 39.12 Земельного </w:t>
      </w:r>
      <w:r w:rsidRPr="006627F2">
        <w:t xml:space="preserve">кодекса Российской Федерации, засчитываются в счет оплаты арендной платы за земельный участок за первый год аренды.  </w:t>
      </w:r>
    </w:p>
    <w:p w:rsidR="007E2972" w:rsidRPr="006627F2" w:rsidRDefault="007E2972" w:rsidP="007E2972">
      <w:pPr>
        <w:numPr>
          <w:ilvl w:val="1"/>
          <w:numId w:val="1"/>
        </w:numPr>
        <w:tabs>
          <w:tab w:val="left" w:pos="993"/>
        </w:tabs>
        <w:spacing w:before="30" w:after="30"/>
        <w:ind w:left="142" w:firstLine="360"/>
        <w:jc w:val="both"/>
      </w:pPr>
      <w:r w:rsidRPr="006627F2">
        <w:rPr>
          <w:b/>
        </w:rPr>
        <w:t>Задаток не подлежит возврату</w:t>
      </w:r>
      <w:r w:rsidRPr="006627F2">
        <w:t xml:space="preserve"> </w:t>
      </w:r>
      <w:r w:rsidRPr="006627F2">
        <w:rPr>
          <w:bCs/>
          <w:iCs/>
        </w:rPr>
        <w:t>в</w:t>
      </w:r>
      <w:r w:rsidRPr="006627F2">
        <w:t xml:space="preserve"> случаях:</w:t>
      </w:r>
    </w:p>
    <w:p w:rsidR="007E2972" w:rsidRPr="006627F2" w:rsidRDefault="007E2972" w:rsidP="007E2972">
      <w:pPr>
        <w:tabs>
          <w:tab w:val="left" w:pos="993"/>
        </w:tabs>
        <w:ind w:left="142" w:firstLine="360"/>
        <w:jc w:val="both"/>
      </w:pPr>
      <w:r w:rsidRPr="006627F2">
        <w:t xml:space="preserve">- если </w:t>
      </w:r>
      <w:r w:rsidRPr="006627F2">
        <w:rPr>
          <w:bCs/>
          <w:iCs/>
        </w:rPr>
        <w:t xml:space="preserve">претендент, признанный </w:t>
      </w:r>
      <w:r w:rsidRPr="006627F2">
        <w:t>лицом, подавшим единственную заявку на участие в аукционе,</w:t>
      </w:r>
      <w:r w:rsidRPr="006627F2">
        <w:rPr>
          <w:bCs/>
          <w:iCs/>
        </w:rPr>
        <w:t xml:space="preserve"> либо лицом, признанным единственным участником аукциона, </w:t>
      </w:r>
      <w:r w:rsidRPr="006627F2">
        <w:t>уклоняется от заключения договора аренды земельного участка;</w:t>
      </w:r>
    </w:p>
    <w:p w:rsidR="007E2972" w:rsidRPr="006627F2" w:rsidRDefault="007E2972" w:rsidP="007E2972">
      <w:pPr>
        <w:tabs>
          <w:tab w:val="left" w:pos="993"/>
        </w:tabs>
        <w:ind w:left="142" w:firstLine="360"/>
        <w:jc w:val="both"/>
      </w:pPr>
      <w:r w:rsidRPr="006627F2">
        <w:t>- если претендент,</w:t>
      </w:r>
      <w:r w:rsidRPr="006627F2">
        <w:rPr>
          <w:b/>
          <w:bCs/>
          <w:i/>
          <w:iCs/>
        </w:rPr>
        <w:t xml:space="preserve"> </w:t>
      </w:r>
      <w:r w:rsidRPr="006627F2">
        <w:t xml:space="preserve">выигравший аукцион, либо признанный единственным принявшим участие участником аукциона, уклоняется от подписания протокола и от заключения договора аренды земельного участка на установленных в результате проведения аукциона условиях. </w:t>
      </w:r>
    </w:p>
    <w:p w:rsidR="007E2972" w:rsidRPr="006627F2" w:rsidRDefault="007E2972" w:rsidP="007E2972">
      <w:pPr>
        <w:tabs>
          <w:tab w:val="left" w:pos="993"/>
        </w:tabs>
        <w:ind w:left="142" w:firstLine="360"/>
        <w:jc w:val="both"/>
      </w:pPr>
    </w:p>
    <w:p w:rsidR="007E2972" w:rsidRPr="00E7336D" w:rsidRDefault="007E2972" w:rsidP="007E2972">
      <w:pPr>
        <w:numPr>
          <w:ilvl w:val="0"/>
          <w:numId w:val="1"/>
        </w:numPr>
        <w:tabs>
          <w:tab w:val="left" w:pos="993"/>
        </w:tabs>
        <w:spacing w:before="30" w:after="30"/>
        <w:ind w:left="142" w:firstLine="360"/>
        <w:jc w:val="center"/>
      </w:pPr>
      <w:r w:rsidRPr="006627F2">
        <w:rPr>
          <w:b/>
        </w:rPr>
        <w:t xml:space="preserve">Порядок, форма и срок приема и отзыва Заявок. </w:t>
      </w:r>
    </w:p>
    <w:p w:rsidR="007E2972" w:rsidRPr="006627F2" w:rsidRDefault="007E2972" w:rsidP="007E2972">
      <w:pPr>
        <w:tabs>
          <w:tab w:val="left" w:pos="993"/>
        </w:tabs>
        <w:spacing w:before="30" w:after="30"/>
        <w:ind w:left="502"/>
        <w:jc w:val="center"/>
      </w:pPr>
      <w:r w:rsidRPr="006627F2">
        <w:rPr>
          <w:b/>
        </w:rPr>
        <w:t>Перечень представляемых претендентами на участие в аукционе в электронной форме документов и требования к их оформлению.</w:t>
      </w:r>
    </w:p>
    <w:p w:rsidR="007E2972" w:rsidRPr="006627F2" w:rsidRDefault="007E2972" w:rsidP="007E2972">
      <w:pPr>
        <w:tabs>
          <w:tab w:val="left" w:pos="993"/>
        </w:tabs>
        <w:ind w:left="142" w:firstLine="360"/>
      </w:pPr>
    </w:p>
    <w:p w:rsidR="007E2972" w:rsidRPr="006627F2" w:rsidRDefault="007E2972" w:rsidP="007E2972">
      <w:pPr>
        <w:numPr>
          <w:ilvl w:val="1"/>
          <w:numId w:val="1"/>
        </w:numPr>
        <w:tabs>
          <w:tab w:val="left" w:pos="993"/>
        </w:tabs>
        <w:spacing w:before="30" w:after="30"/>
        <w:ind w:left="142" w:firstLine="360"/>
        <w:jc w:val="both"/>
      </w:pPr>
      <w:r w:rsidRPr="006627F2">
        <w:t>Для участия в аукционе в электронной форме претендент, получивший аккредитацию и зарегистрированный на электронной площадке, подает заявку на участие в аукционе в электронной форме. Один Заявитель вправе подать только одну заявку.</w:t>
      </w:r>
    </w:p>
    <w:p w:rsidR="007E2972" w:rsidRPr="006627F2" w:rsidRDefault="007E2972" w:rsidP="007E2972">
      <w:pPr>
        <w:numPr>
          <w:ilvl w:val="1"/>
          <w:numId w:val="1"/>
        </w:numPr>
        <w:tabs>
          <w:tab w:val="left" w:pos="993"/>
        </w:tabs>
        <w:spacing w:before="30" w:after="30"/>
        <w:ind w:left="142" w:firstLine="360"/>
        <w:jc w:val="both"/>
      </w:pPr>
      <w:r w:rsidRPr="006627F2">
        <w:t>Состав заявки на участие в аукционе в электронной форме должен содержать документы и сведения, указанные в настоящем разделе.</w:t>
      </w:r>
    </w:p>
    <w:p w:rsidR="007E2972" w:rsidRPr="006627F2" w:rsidRDefault="007E2972" w:rsidP="007E2972">
      <w:pPr>
        <w:numPr>
          <w:ilvl w:val="1"/>
          <w:numId w:val="1"/>
        </w:numPr>
        <w:tabs>
          <w:tab w:val="left" w:pos="993"/>
        </w:tabs>
        <w:spacing w:before="30" w:after="30"/>
        <w:ind w:left="142" w:firstLine="360"/>
        <w:jc w:val="both"/>
      </w:pPr>
      <w:r w:rsidRPr="006627F2">
        <w:t>Претендент вправе подать заявку на участие в аукционе в электронной форме в пределах срока подачи заявок, указанного в извещении о проведен</w:t>
      </w:r>
      <w:proofErr w:type="gramStart"/>
      <w:r w:rsidRPr="006627F2">
        <w:t>ии ау</w:t>
      </w:r>
      <w:proofErr w:type="gramEnd"/>
      <w:r w:rsidRPr="006627F2">
        <w:t>кциона в электронной форме.</w:t>
      </w:r>
    </w:p>
    <w:p w:rsidR="007E2972" w:rsidRPr="006627F2" w:rsidRDefault="007E2972" w:rsidP="007E2972">
      <w:pPr>
        <w:numPr>
          <w:ilvl w:val="1"/>
          <w:numId w:val="1"/>
        </w:numPr>
        <w:tabs>
          <w:tab w:val="left" w:pos="993"/>
        </w:tabs>
        <w:spacing w:before="30" w:after="30"/>
        <w:ind w:left="142" w:firstLine="360"/>
        <w:jc w:val="both"/>
      </w:pPr>
      <w:r w:rsidRPr="006627F2">
        <w:t>Заявка на участие в аукционе в электронной форме направляется претендентом оператору электронной площадки, путем:</w:t>
      </w:r>
    </w:p>
    <w:p w:rsidR="007E2972" w:rsidRPr="006627F2" w:rsidRDefault="007E2972" w:rsidP="007E2972">
      <w:pPr>
        <w:tabs>
          <w:tab w:val="left" w:pos="993"/>
        </w:tabs>
        <w:ind w:left="142" w:firstLine="360"/>
        <w:jc w:val="both"/>
      </w:pPr>
      <w:proofErr w:type="gramStart"/>
      <w:r w:rsidRPr="006627F2">
        <w:t>- 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путем сканирования с сохранением их реквизитов;</w:t>
      </w:r>
      <w:proofErr w:type="gramEnd"/>
    </w:p>
    <w:p w:rsidR="007E2972" w:rsidRPr="006627F2" w:rsidRDefault="007E2972" w:rsidP="007E2972">
      <w:pPr>
        <w:tabs>
          <w:tab w:val="left" w:pos="993"/>
        </w:tabs>
        <w:ind w:left="142" w:firstLine="360"/>
        <w:jc w:val="both"/>
      </w:pPr>
      <w:r w:rsidRPr="006627F2">
        <w:t xml:space="preserve">- копии документов, удостоверяющих личность Заявителя (в случае </w:t>
      </w:r>
      <w:proofErr w:type="gramStart"/>
      <w:r w:rsidRPr="006627F2">
        <w:t>представления копии паспорта гражданина Российской Федерации</w:t>
      </w:r>
      <w:proofErr w:type="gramEnd"/>
      <w:r w:rsidRPr="006627F2">
        <w:t xml:space="preserve"> представляются копии 20 (двадцати) страниц паспорта: от 1-ой страницы с изображением Государственного герба Российской Федерации по 20-ю страницу с «Извлечением из Положения о паспорте гражданина Российской Федерации» включительно);</w:t>
      </w:r>
    </w:p>
    <w:p w:rsidR="007E2972" w:rsidRPr="006627F2" w:rsidRDefault="007E2972" w:rsidP="007E2972">
      <w:pPr>
        <w:tabs>
          <w:tab w:val="left" w:pos="993"/>
        </w:tabs>
        <w:ind w:left="142" w:firstLine="360"/>
        <w:jc w:val="both"/>
      </w:pPr>
      <w:r w:rsidRPr="006627F2">
        <w:t>-  копии</w:t>
      </w:r>
      <w:r w:rsidRPr="006627F2">
        <w:tab/>
        <w:t>учредительных</w:t>
      </w:r>
      <w:r>
        <w:t xml:space="preserve"> </w:t>
      </w:r>
      <w:r w:rsidRPr="006627F2">
        <w:t xml:space="preserve">документов и свидетельства о государственной регистрации претендента (для юридического лица), копию свидетельства о государственной </w:t>
      </w:r>
      <w:r w:rsidRPr="006627F2">
        <w:lastRenderedPageBreak/>
        <w:t>регистрации претендента в качестве индивидуального предпринимателя (для индивидуального предпринимателя);</w:t>
      </w:r>
    </w:p>
    <w:p w:rsidR="007E2972" w:rsidRPr="006627F2" w:rsidRDefault="007E2972" w:rsidP="007E2972">
      <w:pPr>
        <w:tabs>
          <w:tab w:val="left" w:pos="993"/>
        </w:tabs>
        <w:ind w:left="142" w:firstLine="360"/>
        <w:jc w:val="both"/>
      </w:pPr>
      <w:r w:rsidRPr="006627F2">
        <w:t xml:space="preserve">- надлежащим образом заверенный перевод </w:t>
      </w:r>
      <w:proofErr w:type="gramStart"/>
      <w:r w:rsidRPr="006627F2">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6627F2">
        <w:t>, если заявителем является иностранное юридическое лицо;</w:t>
      </w:r>
    </w:p>
    <w:p w:rsidR="007E2972" w:rsidRPr="006627F2" w:rsidRDefault="007E2972" w:rsidP="007E2972">
      <w:pPr>
        <w:tabs>
          <w:tab w:val="left" w:pos="993"/>
        </w:tabs>
        <w:ind w:left="142" w:firstLine="360"/>
        <w:jc w:val="both"/>
      </w:pPr>
      <w:proofErr w:type="gramStart"/>
      <w:r>
        <w:t xml:space="preserve">- документ, подтверждающий </w:t>
      </w:r>
      <w:r w:rsidRPr="006627F2">
        <w:t>полномочия лица на осуществление действий от имени претендента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торгов без доверенности (далее - руководитель).</w:t>
      </w:r>
      <w:proofErr w:type="gramEnd"/>
      <w:r w:rsidRPr="006627F2">
        <w:t xml:space="preserve"> В случае</w:t>
      </w:r>
      <w:proofErr w:type="gramStart"/>
      <w:r w:rsidRPr="006627F2">
        <w:t>,</w:t>
      </w:r>
      <w:proofErr w:type="gramEnd"/>
      <w:r w:rsidRPr="006627F2">
        <w:t xml:space="preserve"> если от имени участника торгов действует иное лицо, заявка на участие в торгах должна содержать также доверенность на осуществление действий от имени участника торгов, заверенную печатью участника торгов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6627F2">
        <w:t>,</w:t>
      </w:r>
      <w:proofErr w:type="gramEnd"/>
      <w:r w:rsidRPr="006627F2">
        <w:t xml:space="preserve"> если указанная доверенность подписана лицом, уполномоченным руководителем, заявка на участие в торгах должна содержать также документ, подтверждающий полномочия такого лица;</w:t>
      </w:r>
    </w:p>
    <w:p w:rsidR="007E2972" w:rsidRPr="006627F2" w:rsidRDefault="007E2972" w:rsidP="007E2972">
      <w:pPr>
        <w:tabs>
          <w:tab w:val="left" w:pos="993"/>
        </w:tabs>
        <w:ind w:left="142" w:firstLine="360"/>
        <w:jc w:val="both"/>
      </w:pPr>
      <w:r w:rsidRPr="006627F2">
        <w:t>- решение об одобрении или о совершении крупной сделки;</w:t>
      </w:r>
    </w:p>
    <w:p w:rsidR="007E2972" w:rsidRPr="006627F2" w:rsidRDefault="007E2972" w:rsidP="007E2972">
      <w:pPr>
        <w:tabs>
          <w:tab w:val="left" w:pos="993"/>
        </w:tabs>
        <w:ind w:left="142" w:firstLine="360"/>
        <w:jc w:val="both"/>
      </w:pPr>
      <w:proofErr w:type="gramStart"/>
      <w:r w:rsidRPr="006627F2">
        <w:t>- справка об отсутствии у претендентов задолженности по начисленным налогам, сборам и иным обязательным плате</w:t>
      </w:r>
      <w:r>
        <w:t xml:space="preserve">жам в бюджеты любого уровня или </w:t>
      </w:r>
      <w:r w:rsidRPr="006627F2">
        <w:t>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w:t>
      </w:r>
      <w:r>
        <w:t>ельством Российской</w:t>
      </w:r>
      <w:proofErr w:type="gramEnd"/>
      <w:r>
        <w:t xml:space="preserve"> Федерации</w:t>
      </w:r>
      <w:r w:rsidRPr="006627F2">
        <w:t>;</w:t>
      </w:r>
    </w:p>
    <w:p w:rsidR="007E2972" w:rsidRPr="006627F2" w:rsidRDefault="007E2972" w:rsidP="007E2972">
      <w:pPr>
        <w:tabs>
          <w:tab w:val="left" w:pos="993"/>
        </w:tabs>
        <w:ind w:left="142" w:firstLine="360"/>
        <w:jc w:val="both"/>
      </w:pPr>
      <w:r w:rsidRPr="006627F2">
        <w:t>- документы, подтверждающие внесение задатка.</w:t>
      </w:r>
    </w:p>
    <w:p w:rsidR="007E2972" w:rsidRPr="006627F2" w:rsidRDefault="007E2972" w:rsidP="007E2972">
      <w:pPr>
        <w:numPr>
          <w:ilvl w:val="1"/>
          <w:numId w:val="1"/>
        </w:numPr>
        <w:tabs>
          <w:tab w:val="left" w:pos="993"/>
        </w:tabs>
        <w:spacing w:before="30" w:after="30"/>
        <w:ind w:left="142" w:firstLine="360"/>
        <w:jc w:val="both"/>
      </w:pPr>
      <w:r w:rsidRPr="006627F2">
        <w:t>Заявка на участие в электронном аукционе, а также прилагаемые к ней документы подписываются ЭП Заявителя.</w:t>
      </w:r>
    </w:p>
    <w:p w:rsidR="007E2972" w:rsidRPr="006627F2" w:rsidRDefault="007E2972" w:rsidP="007E2972">
      <w:pPr>
        <w:numPr>
          <w:ilvl w:val="1"/>
          <w:numId w:val="1"/>
        </w:numPr>
        <w:tabs>
          <w:tab w:val="left" w:pos="993"/>
        </w:tabs>
        <w:spacing w:before="30" w:after="30"/>
        <w:ind w:left="142" w:firstLine="360"/>
        <w:jc w:val="both"/>
      </w:pPr>
      <w:r w:rsidRPr="006627F2">
        <w:t>Заявка и прилагаемые к ней документы направляются единовременно. Не допускается раздельного направления Заявки и приложенных к ней документов, направления дополнительных документов после подачи Заявки или замена ранее направленных документов без отзыва Заявки.</w:t>
      </w:r>
    </w:p>
    <w:p w:rsidR="007E2972" w:rsidRPr="006627F2" w:rsidRDefault="007E2972" w:rsidP="007E2972">
      <w:pPr>
        <w:numPr>
          <w:ilvl w:val="1"/>
          <w:numId w:val="1"/>
        </w:numPr>
        <w:tabs>
          <w:tab w:val="left" w:pos="993"/>
        </w:tabs>
        <w:spacing w:before="30" w:after="30"/>
        <w:ind w:left="142" w:firstLine="360"/>
        <w:jc w:val="both"/>
      </w:pPr>
      <w:r w:rsidRPr="006627F2">
        <w:t>В соответствии с Регламентом и Инструкциями Оператор электронной площадки возвращает Заявку заявителю в случае:</w:t>
      </w:r>
    </w:p>
    <w:p w:rsidR="007E2972" w:rsidRPr="006627F2" w:rsidRDefault="007E2972" w:rsidP="007E2972">
      <w:pPr>
        <w:tabs>
          <w:tab w:val="left" w:pos="993"/>
        </w:tabs>
        <w:ind w:left="142" w:firstLine="360"/>
        <w:jc w:val="both"/>
      </w:pPr>
      <w:r w:rsidRPr="006627F2">
        <w:t>- предоставления Заявки, подписанной ЭП лица, не уполномоченного действовать от имени Заявителя;</w:t>
      </w:r>
    </w:p>
    <w:p w:rsidR="007E2972" w:rsidRPr="006627F2" w:rsidRDefault="007E2972" w:rsidP="007E2972">
      <w:pPr>
        <w:tabs>
          <w:tab w:val="left" w:pos="993"/>
        </w:tabs>
        <w:ind w:left="142" w:firstLine="360"/>
        <w:jc w:val="both"/>
      </w:pPr>
      <w:r w:rsidRPr="006627F2">
        <w:t>- подачи одним Заявителем двух и более Заявок при условии, что поданные ранее Заявки не отозваны;</w:t>
      </w:r>
    </w:p>
    <w:p w:rsidR="007E2972" w:rsidRPr="006627F2" w:rsidRDefault="007E2972" w:rsidP="007E2972">
      <w:pPr>
        <w:tabs>
          <w:tab w:val="left" w:pos="993"/>
        </w:tabs>
        <w:ind w:left="142" w:firstLine="360"/>
        <w:jc w:val="both"/>
      </w:pPr>
      <w:r w:rsidRPr="006627F2">
        <w:t>- получения заявки после установленных в пункте 1 извещения дня и времени окончания срока приема Заявок;</w:t>
      </w:r>
    </w:p>
    <w:p w:rsidR="007E2972" w:rsidRPr="006627F2" w:rsidRDefault="007E2972" w:rsidP="007E2972">
      <w:pPr>
        <w:tabs>
          <w:tab w:val="left" w:pos="993"/>
        </w:tabs>
        <w:ind w:left="142" w:firstLine="360"/>
        <w:jc w:val="both"/>
      </w:pPr>
      <w:r w:rsidRPr="006627F2">
        <w:t xml:space="preserve">- некорректного заполнения формы заявки, в том числе </w:t>
      </w:r>
      <w:proofErr w:type="spellStart"/>
      <w:r w:rsidRPr="006627F2">
        <w:t>незаполнения</w:t>
      </w:r>
      <w:proofErr w:type="spellEnd"/>
      <w:r w:rsidRPr="006627F2">
        <w:t xml:space="preserve"> полей, являющихся обязательными для заполнения.</w:t>
      </w:r>
    </w:p>
    <w:p w:rsidR="007E2972" w:rsidRPr="006627F2" w:rsidRDefault="007E2972" w:rsidP="007E2972">
      <w:pPr>
        <w:tabs>
          <w:tab w:val="left" w:pos="993"/>
        </w:tabs>
        <w:ind w:left="142" w:firstLine="360"/>
        <w:jc w:val="both"/>
      </w:pPr>
      <w:r w:rsidRPr="006627F2">
        <w:t>Одновременно с возвратом Заявки Оператор электронной площадки уведомляет Заявителя об основаниях ее возврата.</w:t>
      </w:r>
    </w:p>
    <w:p w:rsidR="007E2972" w:rsidRPr="006627F2" w:rsidRDefault="007E2972" w:rsidP="007E2972">
      <w:pPr>
        <w:tabs>
          <w:tab w:val="left" w:pos="993"/>
        </w:tabs>
        <w:ind w:left="142" w:firstLine="360"/>
        <w:jc w:val="both"/>
      </w:pPr>
      <w:r w:rsidRPr="006627F2">
        <w:t>Возврат Заявок по иным основаниям не допускается.</w:t>
      </w:r>
    </w:p>
    <w:p w:rsidR="007E2972" w:rsidRPr="006627F2" w:rsidRDefault="007E2972" w:rsidP="007E2972">
      <w:pPr>
        <w:numPr>
          <w:ilvl w:val="1"/>
          <w:numId w:val="1"/>
        </w:numPr>
        <w:tabs>
          <w:tab w:val="left" w:pos="993"/>
        </w:tabs>
        <w:spacing w:before="30" w:after="30"/>
        <w:ind w:left="142" w:firstLine="360"/>
        <w:jc w:val="both"/>
      </w:pPr>
      <w:r w:rsidRPr="006627F2">
        <w:t>В случае отсутствия у Оператора электронной площадки оснований возврата Заявки Заявителю, Оператор электронной площадки регистрирует Заявку. При этом Оператор электронной площадки направляет Заявителю соответствующее уведомление.</w:t>
      </w:r>
    </w:p>
    <w:p w:rsidR="007E2972" w:rsidRPr="006627F2" w:rsidRDefault="007E2972" w:rsidP="007E2972">
      <w:pPr>
        <w:numPr>
          <w:ilvl w:val="1"/>
          <w:numId w:val="1"/>
        </w:numPr>
        <w:tabs>
          <w:tab w:val="left" w:pos="993"/>
        </w:tabs>
        <w:spacing w:before="30" w:after="30"/>
        <w:ind w:left="142" w:firstLine="360"/>
        <w:jc w:val="both"/>
      </w:pPr>
      <w:r w:rsidRPr="006627F2">
        <w:t>Заявитель вправе отозвать Заявку в любое время до установленных даты и времени окончания срока подачи Заявок.</w:t>
      </w:r>
    </w:p>
    <w:p w:rsidR="007E2972" w:rsidRPr="006627F2" w:rsidRDefault="007E2972" w:rsidP="007E2972">
      <w:pPr>
        <w:numPr>
          <w:ilvl w:val="1"/>
          <w:numId w:val="1"/>
        </w:numPr>
        <w:tabs>
          <w:tab w:val="left" w:pos="993"/>
        </w:tabs>
        <w:spacing w:before="30" w:after="30"/>
        <w:ind w:left="142" w:firstLine="360"/>
        <w:jc w:val="both"/>
      </w:pPr>
      <w:r w:rsidRPr="006627F2">
        <w:lastRenderedPageBreak/>
        <w:t xml:space="preserve">Заявитель после отзыва Заявки вправе повторно подать Заявку до </w:t>
      </w:r>
      <w:proofErr w:type="gramStart"/>
      <w:r w:rsidRPr="006627F2">
        <w:t>установленных</w:t>
      </w:r>
      <w:proofErr w:type="gramEnd"/>
      <w:r w:rsidRPr="006627F2">
        <w:t xml:space="preserve"> даты и времени окончания срока приема.</w:t>
      </w:r>
    </w:p>
    <w:p w:rsidR="007E2972" w:rsidRPr="006627F2" w:rsidRDefault="007E2972" w:rsidP="007E2972">
      <w:pPr>
        <w:numPr>
          <w:ilvl w:val="1"/>
          <w:numId w:val="1"/>
        </w:numPr>
        <w:tabs>
          <w:tab w:val="left" w:pos="993"/>
        </w:tabs>
        <w:spacing w:before="30" w:after="30"/>
        <w:ind w:left="142" w:firstLine="360"/>
        <w:jc w:val="both"/>
      </w:pPr>
      <w:r w:rsidRPr="006627F2">
        <w:t>Прием заявок прекращается Оператором электронной площадки с помощью программных и технических сре</w:t>
      </w:r>
      <w:proofErr w:type="gramStart"/>
      <w:r w:rsidRPr="006627F2">
        <w:t>дств в д</w:t>
      </w:r>
      <w:proofErr w:type="gramEnd"/>
      <w:r w:rsidRPr="006627F2">
        <w:t>ату и время окончания срока приема Заявок.</w:t>
      </w:r>
    </w:p>
    <w:p w:rsidR="007E2972" w:rsidRPr="006627F2" w:rsidRDefault="007E2972" w:rsidP="007E2972">
      <w:pPr>
        <w:numPr>
          <w:ilvl w:val="1"/>
          <w:numId w:val="1"/>
        </w:numPr>
        <w:tabs>
          <w:tab w:val="left" w:pos="993"/>
        </w:tabs>
        <w:spacing w:before="30" w:after="30"/>
        <w:ind w:left="142" w:firstLine="360"/>
        <w:jc w:val="both"/>
      </w:pPr>
      <w:r w:rsidRPr="006627F2">
        <w:t>Ответственность за достоверность указанной в Заявке информации и приложенных к ней документов несет Заявитель.</w:t>
      </w:r>
    </w:p>
    <w:p w:rsidR="007E2972" w:rsidRPr="006627F2" w:rsidRDefault="007E2972" w:rsidP="007E2972">
      <w:pPr>
        <w:numPr>
          <w:ilvl w:val="1"/>
          <w:numId w:val="1"/>
        </w:numPr>
        <w:tabs>
          <w:tab w:val="left" w:pos="993"/>
        </w:tabs>
        <w:spacing w:before="30" w:after="30"/>
        <w:ind w:left="142" w:firstLine="360"/>
        <w:jc w:val="both"/>
      </w:pPr>
      <w:proofErr w:type="gramStart"/>
      <w:r w:rsidRPr="006627F2">
        <w:t xml:space="preserve">Подача претендентом заявки на участие в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аукционе в электронной форме в случае, если плата за участие в электронном аукционе предусмотрена регламентом электронной площадки, в порядке и по основаниям, установленным таким регламентом электронной площадки.  </w:t>
      </w:r>
      <w:proofErr w:type="gramEnd"/>
    </w:p>
    <w:p w:rsidR="007E2972" w:rsidRPr="006627F2" w:rsidRDefault="007E2972" w:rsidP="007E2972">
      <w:pPr>
        <w:numPr>
          <w:ilvl w:val="1"/>
          <w:numId w:val="1"/>
        </w:numPr>
        <w:tabs>
          <w:tab w:val="left" w:pos="993"/>
        </w:tabs>
        <w:spacing w:before="30" w:after="30"/>
        <w:ind w:left="142" w:firstLine="360"/>
        <w:jc w:val="both"/>
      </w:pPr>
      <w:r w:rsidRPr="006627F2">
        <w:t>После окончания срока приема Заявок Оператор электронной площадки направляет Заявки Организатору аукциона.</w:t>
      </w:r>
    </w:p>
    <w:p w:rsidR="007E2972" w:rsidRPr="006E5A77" w:rsidRDefault="007E2972" w:rsidP="007E2972">
      <w:pPr>
        <w:tabs>
          <w:tab w:val="left" w:pos="993"/>
        </w:tabs>
        <w:ind w:left="142" w:firstLine="360"/>
        <w:jc w:val="both"/>
        <w:rPr>
          <w:sz w:val="16"/>
          <w:szCs w:val="16"/>
        </w:rPr>
      </w:pPr>
    </w:p>
    <w:p w:rsidR="007E2972" w:rsidRPr="006627F2" w:rsidRDefault="007E2972" w:rsidP="007E2972">
      <w:pPr>
        <w:numPr>
          <w:ilvl w:val="0"/>
          <w:numId w:val="1"/>
        </w:numPr>
        <w:tabs>
          <w:tab w:val="left" w:pos="993"/>
        </w:tabs>
        <w:spacing w:before="30" w:after="30"/>
        <w:ind w:left="142" w:firstLine="360"/>
        <w:jc w:val="center"/>
        <w:rPr>
          <w:b/>
        </w:rPr>
      </w:pPr>
      <w:r w:rsidRPr="006627F2">
        <w:rPr>
          <w:b/>
        </w:rPr>
        <w:t>Порядок рассмотрения Заявок на участие в аукционе</w:t>
      </w:r>
    </w:p>
    <w:p w:rsidR="007E2972" w:rsidRPr="006E5A77" w:rsidRDefault="007E2972" w:rsidP="007E2972">
      <w:pPr>
        <w:tabs>
          <w:tab w:val="left" w:pos="993"/>
        </w:tabs>
        <w:ind w:left="142" w:firstLine="360"/>
        <w:jc w:val="both"/>
        <w:rPr>
          <w:sz w:val="16"/>
          <w:szCs w:val="16"/>
        </w:rPr>
      </w:pPr>
    </w:p>
    <w:p w:rsidR="007E2972" w:rsidRPr="006627F2" w:rsidRDefault="007E2972" w:rsidP="007E2972">
      <w:pPr>
        <w:numPr>
          <w:ilvl w:val="1"/>
          <w:numId w:val="1"/>
        </w:numPr>
        <w:tabs>
          <w:tab w:val="left" w:pos="993"/>
        </w:tabs>
        <w:spacing w:before="30" w:after="30"/>
        <w:ind w:left="142" w:firstLine="360"/>
        <w:jc w:val="both"/>
      </w:pPr>
      <w:r w:rsidRPr="006627F2">
        <w:t>Рассмотрение Заявок осуществляется Аукционной комиссией.</w:t>
      </w:r>
    </w:p>
    <w:p w:rsidR="007E2972" w:rsidRPr="006627F2" w:rsidRDefault="007E2972" w:rsidP="007E2972">
      <w:pPr>
        <w:numPr>
          <w:ilvl w:val="1"/>
          <w:numId w:val="1"/>
        </w:numPr>
        <w:tabs>
          <w:tab w:val="left" w:pos="993"/>
        </w:tabs>
        <w:spacing w:before="30" w:after="30"/>
        <w:ind w:left="142" w:firstLine="360"/>
        <w:jc w:val="both"/>
      </w:pPr>
      <w:r w:rsidRPr="006627F2">
        <w:t>Заявитель не допускается к участию в аукционе в следующих случаях:</w:t>
      </w:r>
    </w:p>
    <w:p w:rsidR="007E2972" w:rsidRPr="006627F2" w:rsidRDefault="007E2972" w:rsidP="007E2972">
      <w:pPr>
        <w:tabs>
          <w:tab w:val="left" w:pos="993"/>
        </w:tabs>
        <w:ind w:left="142" w:firstLine="360"/>
        <w:jc w:val="both"/>
      </w:pPr>
      <w:r w:rsidRPr="006627F2">
        <w:t>- непредставление необходимых для участия в аукционе документов или представление недостоверных сведений;</w:t>
      </w:r>
    </w:p>
    <w:p w:rsidR="007E2972" w:rsidRPr="006627F2" w:rsidRDefault="007E2972" w:rsidP="007E2972">
      <w:pPr>
        <w:tabs>
          <w:tab w:val="left" w:pos="993"/>
        </w:tabs>
        <w:ind w:left="142" w:firstLine="360"/>
        <w:jc w:val="both"/>
      </w:pPr>
      <w:r w:rsidRPr="006627F2">
        <w:t xml:space="preserve">- </w:t>
      </w:r>
      <w:proofErr w:type="spellStart"/>
      <w:r w:rsidRPr="006627F2">
        <w:t>непоступление</w:t>
      </w:r>
      <w:proofErr w:type="spellEnd"/>
      <w:r w:rsidRPr="006627F2">
        <w:t xml:space="preserve"> от заявителя задатка на дату рассмотрения Заявок на участие в аукционе;</w:t>
      </w:r>
    </w:p>
    <w:p w:rsidR="007E2972" w:rsidRPr="006627F2" w:rsidRDefault="007E2972" w:rsidP="007E2972">
      <w:pPr>
        <w:tabs>
          <w:tab w:val="left" w:pos="993"/>
        </w:tabs>
        <w:ind w:left="142" w:firstLine="360"/>
        <w:jc w:val="both"/>
      </w:pPr>
      <w:r w:rsidRPr="006627F2">
        <w:t>- подача Заявки на участие в аукционе лицом, которое в соответствии с действующим законодательством не имеет права быть участником аукциона;</w:t>
      </w:r>
    </w:p>
    <w:p w:rsidR="007E2972" w:rsidRPr="006627F2" w:rsidRDefault="007E2972" w:rsidP="007E2972">
      <w:pPr>
        <w:tabs>
          <w:tab w:val="left" w:pos="993"/>
        </w:tabs>
        <w:ind w:left="142" w:firstLine="360"/>
        <w:jc w:val="both"/>
      </w:pPr>
      <w:r w:rsidRPr="006627F2">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7E2972" w:rsidRPr="006627F2" w:rsidRDefault="007E2972" w:rsidP="007E2972">
      <w:pPr>
        <w:numPr>
          <w:ilvl w:val="1"/>
          <w:numId w:val="1"/>
        </w:numPr>
        <w:tabs>
          <w:tab w:val="left" w:pos="993"/>
        </w:tabs>
        <w:spacing w:before="30" w:after="30"/>
        <w:ind w:left="142" w:firstLine="360"/>
        <w:jc w:val="both"/>
      </w:pPr>
      <w:r w:rsidRPr="006627F2">
        <w:t>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 чем на следующий рабочий день после подписания указанного протокола.</w:t>
      </w:r>
    </w:p>
    <w:p w:rsidR="007E2972" w:rsidRPr="006627F2" w:rsidRDefault="007E2972" w:rsidP="007E2972">
      <w:pPr>
        <w:numPr>
          <w:ilvl w:val="1"/>
          <w:numId w:val="1"/>
        </w:numPr>
        <w:tabs>
          <w:tab w:val="left" w:pos="993"/>
        </w:tabs>
        <w:spacing w:before="30" w:after="30"/>
        <w:ind w:left="142" w:firstLine="360"/>
        <w:jc w:val="both"/>
      </w:pPr>
      <w:proofErr w:type="gramStart"/>
      <w:r w:rsidRPr="006627F2">
        <w:t>Заявителям, признанным Участниками, и Заявителям, не допущенным к участию в аукционе, Оператор электронной площадки направляет в электронной форме в Личные кабинеты Заявителей уведомления о принятых в их отношении решениях, не позднее следующего рабочего дня подписания протокола рассмотрения заявок на участие в аукционе.</w:t>
      </w:r>
      <w:proofErr w:type="gramEnd"/>
    </w:p>
    <w:p w:rsidR="007E2972" w:rsidRPr="006627F2" w:rsidRDefault="007E2972" w:rsidP="007E2972">
      <w:pPr>
        <w:numPr>
          <w:ilvl w:val="1"/>
          <w:numId w:val="1"/>
        </w:numPr>
        <w:tabs>
          <w:tab w:val="left" w:pos="993"/>
        </w:tabs>
        <w:spacing w:before="30" w:after="30"/>
        <w:ind w:left="142" w:firstLine="360"/>
        <w:jc w:val="both"/>
      </w:pPr>
      <w:r w:rsidRPr="006627F2">
        <w:t>Заявитель в соответствии с полученным им уведомлением Участника считается участвующим в аукционе с даты и времени начала проведения аукциона.</w:t>
      </w:r>
    </w:p>
    <w:p w:rsidR="007E2972" w:rsidRPr="006E5A77" w:rsidRDefault="007E2972" w:rsidP="007E2972">
      <w:pPr>
        <w:tabs>
          <w:tab w:val="left" w:pos="993"/>
        </w:tabs>
        <w:ind w:left="142" w:firstLine="360"/>
        <w:jc w:val="both"/>
        <w:rPr>
          <w:sz w:val="16"/>
          <w:szCs w:val="16"/>
        </w:rPr>
      </w:pPr>
      <w:r w:rsidRPr="006627F2">
        <w:t xml:space="preserve">       </w:t>
      </w:r>
    </w:p>
    <w:p w:rsidR="007E2972" w:rsidRPr="006627F2" w:rsidRDefault="007E2972" w:rsidP="007E2972">
      <w:pPr>
        <w:numPr>
          <w:ilvl w:val="0"/>
          <w:numId w:val="1"/>
        </w:numPr>
        <w:tabs>
          <w:tab w:val="left" w:pos="993"/>
        </w:tabs>
        <w:ind w:left="142" w:firstLine="360"/>
        <w:jc w:val="center"/>
        <w:rPr>
          <w:b/>
        </w:rPr>
      </w:pPr>
      <w:r w:rsidRPr="006627F2">
        <w:rPr>
          <w:b/>
        </w:rPr>
        <w:t>Порядок проведения аукциона.</w:t>
      </w:r>
    </w:p>
    <w:p w:rsidR="007E2972" w:rsidRPr="006E5A77" w:rsidRDefault="007E2972" w:rsidP="007E2972">
      <w:pPr>
        <w:tabs>
          <w:tab w:val="left" w:pos="993"/>
        </w:tabs>
        <w:ind w:left="142" w:firstLine="360"/>
        <w:jc w:val="both"/>
        <w:rPr>
          <w:sz w:val="16"/>
          <w:szCs w:val="16"/>
        </w:rPr>
      </w:pPr>
      <w:r w:rsidRPr="006627F2">
        <w:t xml:space="preserve">       </w:t>
      </w:r>
    </w:p>
    <w:p w:rsidR="007E2972" w:rsidRPr="006627F2" w:rsidRDefault="007E2972" w:rsidP="007E2972">
      <w:pPr>
        <w:numPr>
          <w:ilvl w:val="1"/>
          <w:numId w:val="1"/>
        </w:numPr>
        <w:tabs>
          <w:tab w:val="left" w:pos="993"/>
        </w:tabs>
        <w:ind w:left="142" w:firstLine="360"/>
        <w:jc w:val="both"/>
      </w:pPr>
      <w:r w:rsidRPr="006627F2">
        <w:t>Проведение аукциона обеспечивается Оператором электронной площадки.</w:t>
      </w:r>
    </w:p>
    <w:p w:rsidR="007E2972" w:rsidRPr="006627F2" w:rsidRDefault="007E2972" w:rsidP="007E2972">
      <w:pPr>
        <w:numPr>
          <w:ilvl w:val="1"/>
          <w:numId w:val="1"/>
        </w:numPr>
        <w:tabs>
          <w:tab w:val="left" w:pos="993"/>
        </w:tabs>
        <w:ind w:left="142" w:firstLine="360"/>
        <w:jc w:val="both"/>
      </w:pPr>
      <w:r w:rsidRPr="006627F2">
        <w:t>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rsidR="007E2972" w:rsidRPr="006627F2" w:rsidRDefault="007E2972" w:rsidP="007E2972">
      <w:pPr>
        <w:numPr>
          <w:ilvl w:val="1"/>
          <w:numId w:val="1"/>
        </w:numPr>
        <w:tabs>
          <w:tab w:val="left" w:pos="993"/>
        </w:tabs>
        <w:ind w:left="142" w:firstLine="360"/>
        <w:jc w:val="both"/>
      </w:pPr>
      <w:r w:rsidRPr="006627F2">
        <w:t>Процедура аукциона проводится в день и время, указанные в пункте 1 Извещения.</w:t>
      </w:r>
    </w:p>
    <w:p w:rsidR="007E2972" w:rsidRPr="006627F2" w:rsidRDefault="007E2972" w:rsidP="007E2972">
      <w:pPr>
        <w:numPr>
          <w:ilvl w:val="1"/>
          <w:numId w:val="1"/>
        </w:numPr>
        <w:tabs>
          <w:tab w:val="left" w:pos="993"/>
        </w:tabs>
        <w:ind w:left="142" w:firstLine="360"/>
        <w:jc w:val="both"/>
      </w:pPr>
      <w:r w:rsidRPr="006627F2">
        <w:t>Аукцион проводится путем повышения начальной цены предмета аукциона на «шаг аукциона», установленные в пункте 1 извещения.</w:t>
      </w:r>
    </w:p>
    <w:p w:rsidR="007E2972" w:rsidRPr="006627F2" w:rsidRDefault="007E2972" w:rsidP="007E2972">
      <w:pPr>
        <w:numPr>
          <w:ilvl w:val="1"/>
          <w:numId w:val="1"/>
        </w:numPr>
        <w:tabs>
          <w:tab w:val="left" w:pos="993"/>
        </w:tabs>
        <w:ind w:left="142" w:firstLine="360"/>
        <w:jc w:val="both"/>
      </w:pPr>
      <w:r w:rsidRPr="006627F2">
        <w:lastRenderedPageBreak/>
        <w:t>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7E2972" w:rsidRPr="006627F2" w:rsidRDefault="007E2972" w:rsidP="007E2972">
      <w:pPr>
        <w:numPr>
          <w:ilvl w:val="1"/>
          <w:numId w:val="1"/>
        </w:numPr>
        <w:tabs>
          <w:tab w:val="left" w:pos="993"/>
        </w:tabs>
        <w:ind w:left="142" w:firstLine="360"/>
        <w:jc w:val="both"/>
      </w:pPr>
      <w:r w:rsidRPr="006627F2">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rsidR="007E2972" w:rsidRPr="006627F2" w:rsidRDefault="007E2972" w:rsidP="007E2972">
      <w:pPr>
        <w:numPr>
          <w:ilvl w:val="1"/>
          <w:numId w:val="1"/>
        </w:numPr>
        <w:tabs>
          <w:tab w:val="left" w:pos="993"/>
        </w:tabs>
        <w:ind w:left="142" w:firstLine="360"/>
        <w:jc w:val="both"/>
      </w:pPr>
      <w:r w:rsidRPr="006627F2">
        <w:t xml:space="preserve">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rsidR="007E2972" w:rsidRPr="006627F2" w:rsidRDefault="007E2972" w:rsidP="007E2972">
      <w:pPr>
        <w:numPr>
          <w:ilvl w:val="1"/>
          <w:numId w:val="1"/>
        </w:numPr>
        <w:tabs>
          <w:tab w:val="left" w:pos="993"/>
        </w:tabs>
        <w:ind w:left="142" w:firstLine="360"/>
        <w:jc w:val="both"/>
      </w:pPr>
      <w:r w:rsidRPr="006627F2">
        <w:rPr>
          <w:b/>
        </w:rPr>
        <w:t> </w:t>
      </w:r>
      <w:r w:rsidRPr="006627F2">
        <w:t xml:space="preserve">Победителем признается Участник, предложивший наибольшую цену Предмета аукциона. </w:t>
      </w:r>
    </w:p>
    <w:p w:rsidR="007E2972" w:rsidRPr="006627F2" w:rsidRDefault="007E2972" w:rsidP="007E2972">
      <w:pPr>
        <w:numPr>
          <w:ilvl w:val="1"/>
          <w:numId w:val="1"/>
        </w:numPr>
        <w:tabs>
          <w:tab w:val="left" w:pos="993"/>
        </w:tabs>
        <w:ind w:left="142" w:firstLine="360"/>
        <w:jc w:val="both"/>
      </w:pPr>
      <w:r w:rsidRPr="006627F2">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подготовки Организатором аукциона протокола о результатах аукциона.</w:t>
      </w:r>
    </w:p>
    <w:p w:rsidR="007E2972" w:rsidRPr="006627F2" w:rsidRDefault="007E2972" w:rsidP="007E2972">
      <w:pPr>
        <w:numPr>
          <w:ilvl w:val="1"/>
          <w:numId w:val="1"/>
        </w:numPr>
        <w:tabs>
          <w:tab w:val="left" w:pos="993"/>
        </w:tabs>
        <w:ind w:left="142" w:firstLine="360"/>
        <w:jc w:val="both"/>
      </w:pPr>
      <w:r w:rsidRPr="006627F2">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w:t>
      </w:r>
    </w:p>
    <w:p w:rsidR="007E2972" w:rsidRPr="006627F2" w:rsidRDefault="007E2972" w:rsidP="007E2972">
      <w:pPr>
        <w:numPr>
          <w:ilvl w:val="1"/>
          <w:numId w:val="1"/>
        </w:numPr>
        <w:tabs>
          <w:tab w:val="left" w:pos="993"/>
        </w:tabs>
        <w:ind w:left="142" w:firstLine="360"/>
        <w:jc w:val="both"/>
      </w:pPr>
      <w:r w:rsidRPr="006627F2">
        <w:t>Организатор аукциона размещает Протокол о результатах аукциона на электронной площадке в течение одного рабочего дня со дня его подписания.</w:t>
      </w:r>
    </w:p>
    <w:p w:rsidR="007E2972" w:rsidRPr="006627F2" w:rsidRDefault="007E2972" w:rsidP="007E2972">
      <w:pPr>
        <w:numPr>
          <w:ilvl w:val="1"/>
          <w:numId w:val="1"/>
        </w:numPr>
        <w:tabs>
          <w:tab w:val="left" w:pos="993"/>
        </w:tabs>
        <w:ind w:left="142" w:firstLine="360"/>
        <w:jc w:val="both"/>
      </w:pPr>
      <w:r w:rsidRPr="006627F2">
        <w:t xml:space="preserve">Аукцион признается несостоявшимся в случаях, если: </w:t>
      </w:r>
    </w:p>
    <w:p w:rsidR="007E2972" w:rsidRPr="006627F2" w:rsidRDefault="007E2972" w:rsidP="007E2972">
      <w:pPr>
        <w:tabs>
          <w:tab w:val="left" w:pos="993"/>
        </w:tabs>
        <w:ind w:left="142" w:firstLine="360"/>
        <w:jc w:val="both"/>
      </w:pPr>
      <w:r w:rsidRPr="006627F2">
        <w:noBreakHyphen/>
        <w:t xml:space="preserve"> по окончании срока подачи Заявок не подано ни одной Заявки; </w:t>
      </w:r>
    </w:p>
    <w:p w:rsidR="007E2972" w:rsidRPr="006627F2" w:rsidRDefault="007E2972" w:rsidP="007E2972">
      <w:pPr>
        <w:tabs>
          <w:tab w:val="left" w:pos="993"/>
        </w:tabs>
        <w:ind w:left="142" w:firstLine="360"/>
        <w:jc w:val="both"/>
      </w:pPr>
      <w:r w:rsidRPr="006627F2">
        <w:noBreakHyphen/>
        <w:t xml:space="preserve"> по окончании срока подачи Заявок была подана только одна Заявка; </w:t>
      </w:r>
    </w:p>
    <w:p w:rsidR="007E2972" w:rsidRPr="006627F2" w:rsidRDefault="007E2972" w:rsidP="007E2972">
      <w:pPr>
        <w:tabs>
          <w:tab w:val="left" w:pos="993"/>
        </w:tabs>
        <w:ind w:left="142" w:firstLine="360"/>
        <w:jc w:val="both"/>
      </w:pPr>
      <w:r w:rsidRPr="006627F2">
        <w:noBreakHyphen/>
        <w:t>   </w:t>
      </w:r>
      <w:proofErr w:type="gramStart"/>
      <w:r w:rsidRPr="006627F2">
        <w:t>на основании результатов рассмотрения Заявок принято решение об отказе в допуске к участию в аукционе</w:t>
      </w:r>
      <w:proofErr w:type="gramEnd"/>
      <w:r w:rsidRPr="006627F2">
        <w:t xml:space="preserve"> всех Заявителей; </w:t>
      </w:r>
    </w:p>
    <w:p w:rsidR="007E2972" w:rsidRPr="006627F2" w:rsidRDefault="007E2972" w:rsidP="007E2972">
      <w:pPr>
        <w:tabs>
          <w:tab w:val="left" w:pos="993"/>
        </w:tabs>
        <w:ind w:left="142" w:firstLine="360"/>
        <w:jc w:val="both"/>
      </w:pPr>
      <w:r w:rsidRPr="006627F2">
        <w:noBreakHyphen/>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7E2972" w:rsidRPr="006627F2" w:rsidRDefault="007E2972" w:rsidP="007E2972">
      <w:pPr>
        <w:tabs>
          <w:tab w:val="left" w:pos="993"/>
        </w:tabs>
        <w:ind w:left="142" w:firstLine="360"/>
        <w:jc w:val="both"/>
      </w:pPr>
      <w:r w:rsidRPr="006627F2">
        <w:noBreakHyphen/>
        <w:t> в случае</w:t>
      </w:r>
      <w:proofErr w:type="gramStart"/>
      <w:r w:rsidRPr="006627F2">
        <w:t>,</w:t>
      </w:r>
      <w:proofErr w:type="gramEnd"/>
      <w:r w:rsidRPr="006627F2">
        <w:t xml:space="preserve"> если в течение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rsidR="007E2972" w:rsidRPr="006627F2" w:rsidRDefault="007E2972" w:rsidP="007E2972">
      <w:pPr>
        <w:numPr>
          <w:ilvl w:val="0"/>
          <w:numId w:val="1"/>
        </w:numPr>
        <w:tabs>
          <w:tab w:val="left" w:pos="993"/>
        </w:tabs>
        <w:spacing w:before="240" w:after="30"/>
        <w:ind w:left="142" w:firstLine="360"/>
        <w:jc w:val="center"/>
        <w:rPr>
          <w:b/>
        </w:rPr>
      </w:pPr>
      <w:r w:rsidRPr="006627F2">
        <w:rPr>
          <w:b/>
        </w:rPr>
        <w:t>Условия и сроки заключения договора аренды земельного участка.</w:t>
      </w:r>
    </w:p>
    <w:p w:rsidR="007E2972" w:rsidRPr="006627F2" w:rsidRDefault="007E2972" w:rsidP="007E2972">
      <w:pPr>
        <w:numPr>
          <w:ilvl w:val="1"/>
          <w:numId w:val="1"/>
        </w:numPr>
        <w:tabs>
          <w:tab w:val="left" w:pos="993"/>
        </w:tabs>
        <w:ind w:left="142" w:firstLine="360"/>
        <w:jc w:val="both"/>
        <w:rPr>
          <w:b/>
        </w:rPr>
      </w:pPr>
      <w:r w:rsidRPr="006627F2">
        <w:t xml:space="preserve">Заключение договора аренды земельного участка (проект договора аренды - Приложение 1)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 </w:t>
      </w:r>
    </w:p>
    <w:p w:rsidR="007E2972" w:rsidRPr="006627F2" w:rsidRDefault="007E2972" w:rsidP="007E2972">
      <w:pPr>
        <w:numPr>
          <w:ilvl w:val="1"/>
          <w:numId w:val="1"/>
        </w:numPr>
        <w:tabs>
          <w:tab w:val="left" w:pos="993"/>
        </w:tabs>
        <w:ind w:left="142" w:firstLine="360"/>
        <w:jc w:val="both"/>
      </w:pPr>
      <w:r w:rsidRPr="006627F2">
        <w:t xml:space="preserve">Договор аренды земельного участка заключается в электронной форме и подписывается ЭП уполномоченного представителя Организатора торгов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 в разделе Личного кабинета «Реестр договоров». </w:t>
      </w:r>
    </w:p>
    <w:p w:rsidR="007E2972" w:rsidRPr="006627F2" w:rsidRDefault="007E2972" w:rsidP="007E2972">
      <w:pPr>
        <w:numPr>
          <w:ilvl w:val="1"/>
          <w:numId w:val="1"/>
        </w:numPr>
        <w:tabs>
          <w:tab w:val="left" w:pos="993"/>
        </w:tabs>
        <w:ind w:left="142" w:firstLine="360"/>
        <w:jc w:val="both"/>
      </w:pPr>
      <w:r w:rsidRPr="006627F2">
        <w:t>Договор аренды земельного участка считается заключенным с момента его подписания на электронной площадке обеими сторонами.</w:t>
      </w:r>
    </w:p>
    <w:p w:rsidR="007E2972" w:rsidRPr="006627F2" w:rsidRDefault="007E2972" w:rsidP="007E2972">
      <w:pPr>
        <w:numPr>
          <w:ilvl w:val="1"/>
          <w:numId w:val="1"/>
        </w:numPr>
        <w:tabs>
          <w:tab w:val="left" w:pos="993"/>
        </w:tabs>
        <w:ind w:left="142" w:firstLine="360"/>
        <w:jc w:val="both"/>
      </w:pPr>
      <w:r w:rsidRPr="006627F2">
        <w:t xml:space="preserve">Не допускается заключение договора аренды земельного участка </w:t>
      </w:r>
      <w:proofErr w:type="gramStart"/>
      <w:r w:rsidRPr="006627F2">
        <w:t>ранее</w:t>
      </w:r>
      <w:proofErr w:type="gramEnd"/>
      <w:r w:rsidRPr="006627F2">
        <w:t xml:space="preserve"> чем через 10 (десять) дней со дня размещения Протокола рассмотрения заявок на участие в </w:t>
      </w:r>
      <w:r w:rsidRPr="006627F2">
        <w:lastRenderedPageBreak/>
        <w:t xml:space="preserve">аукционе в случае, если электронный аукцион признан несостоявшимся, либо Протокола о результатах аукциона на Официальном сайте торгов. </w:t>
      </w:r>
    </w:p>
    <w:p w:rsidR="007E2972" w:rsidRPr="006627F2" w:rsidRDefault="007E2972" w:rsidP="007E2972">
      <w:pPr>
        <w:numPr>
          <w:ilvl w:val="1"/>
          <w:numId w:val="1"/>
        </w:numPr>
        <w:tabs>
          <w:tab w:val="left" w:pos="993"/>
        </w:tabs>
        <w:ind w:left="142" w:firstLine="360"/>
        <w:jc w:val="both"/>
      </w:pPr>
      <w:r w:rsidRPr="006627F2">
        <w:t>В случае</w:t>
      </w:r>
      <w:proofErr w:type="gramStart"/>
      <w:r w:rsidRPr="006627F2">
        <w:t>,</w:t>
      </w:r>
      <w:proofErr w:type="gramEnd"/>
      <w:r w:rsidRPr="006627F2">
        <w:t xml:space="preserve"> если аукцион признан несостоявшимся и только один Заявитель признан Участником, Организатор аукциона (Арендодатель) в течение 5 (пяти) дней со дня истечения срока, предусмотренного пунктом </w:t>
      </w:r>
      <w:r>
        <w:t>9.4</w:t>
      </w:r>
      <w:r w:rsidRPr="006627F2">
        <w:t xml:space="preserve"> Извещения, направляет такому Участнику в раздел Личный кабинет «Реестр договоров» подписанный проект договора аренды земельного участка. При этом размер годовой арендной платы за земельный участок определяется в размере, равном начальной цене предмета аукциона. </w:t>
      </w:r>
    </w:p>
    <w:p w:rsidR="007E2972" w:rsidRPr="006627F2" w:rsidRDefault="007E2972" w:rsidP="007E2972">
      <w:pPr>
        <w:numPr>
          <w:ilvl w:val="1"/>
          <w:numId w:val="1"/>
        </w:numPr>
        <w:tabs>
          <w:tab w:val="left" w:pos="993"/>
        </w:tabs>
        <w:ind w:left="142" w:firstLine="360"/>
        <w:jc w:val="both"/>
      </w:pPr>
      <w:r w:rsidRPr="006627F2">
        <w:rPr>
          <w:b/>
        </w:rPr>
        <w:t>  </w:t>
      </w:r>
      <w:r w:rsidRPr="006627F2">
        <w:t>В случае</w:t>
      </w:r>
      <w:proofErr w:type="gramStart"/>
      <w:r w:rsidRPr="006627F2">
        <w:t>,</w:t>
      </w:r>
      <w:proofErr w:type="gramEnd"/>
      <w:r w:rsidRPr="006627F2">
        <w:t xml:space="preserve"> если по окончании срока подачи Заявок подана только одна Заявка на участие в аукционе, при условии соответствия Заявки и Заявителя, подавшего указанную Заявку, всем требованиям, указанным в Извещении, Организатор аукциона (Арендодатель) в течение 5 (пяти) дней со дня истечения срока, предусмотренного пунктом 9.</w:t>
      </w:r>
      <w:r>
        <w:t>4</w:t>
      </w:r>
      <w:r w:rsidRPr="006627F2">
        <w:t xml:space="preserve"> Извещения, направляет такому Заявителю в раздел Личный кабинет «Реестр договоров» подписанный проект договора аренды земельного участка. При этом размер годовой арендной платы за земельный участок определяется в размере, равном начальной цене предмета аукциона. </w:t>
      </w:r>
    </w:p>
    <w:p w:rsidR="007E2972" w:rsidRPr="006627F2" w:rsidRDefault="007E2972" w:rsidP="007E2972">
      <w:pPr>
        <w:numPr>
          <w:ilvl w:val="1"/>
          <w:numId w:val="1"/>
        </w:numPr>
        <w:tabs>
          <w:tab w:val="left" w:pos="993"/>
        </w:tabs>
        <w:ind w:left="142" w:firstLine="360"/>
        <w:jc w:val="both"/>
      </w:pPr>
      <w:r w:rsidRPr="006627F2">
        <w:rPr>
          <w:b/>
        </w:rPr>
        <w:t> </w:t>
      </w:r>
      <w:r w:rsidRPr="006627F2">
        <w:t>Организатор аукциона (Арендодатель) направляет в раздел Личный кабинет «Реестр договоров» победителю аукциона подписанный проект договора аренды земельного участка в течение 5 (пяти) дней со дня истечения срока, предусмотренного пунктом 9.</w:t>
      </w:r>
      <w:r>
        <w:t>4</w:t>
      </w:r>
      <w:r w:rsidRPr="006627F2">
        <w:t xml:space="preserve"> Извещения. </w:t>
      </w:r>
      <w:proofErr w:type="gramStart"/>
      <w:r>
        <w:t xml:space="preserve">Допускается взимание оператором электронной площадки с победителя электронного аукциона или иных лиц, с которыми в соответствии с </w:t>
      </w:r>
      <w:hyperlink r:id="rId14" w:history="1">
        <w:r>
          <w:rPr>
            <w:rStyle w:val="a5"/>
          </w:rPr>
          <w:t>пунктами 13</w:t>
        </w:r>
      </w:hyperlink>
      <w:r>
        <w:t xml:space="preserve">, </w:t>
      </w:r>
      <w:hyperlink r:id="rId15" w:history="1">
        <w:r>
          <w:rPr>
            <w:rStyle w:val="a5"/>
          </w:rPr>
          <w:t>14</w:t>
        </w:r>
      </w:hyperlink>
      <w:r>
        <w:t xml:space="preserve">, </w:t>
      </w:r>
      <w:hyperlink r:id="rId16" w:history="1">
        <w:r>
          <w:rPr>
            <w:rStyle w:val="a5"/>
          </w:rPr>
          <w:t>20</w:t>
        </w:r>
      </w:hyperlink>
      <w:r>
        <w:t xml:space="preserve"> и </w:t>
      </w:r>
      <w:hyperlink r:id="rId17" w:history="1">
        <w:r>
          <w:rPr>
            <w:rStyle w:val="a5"/>
          </w:rPr>
          <w:t>25 статьи 39.12</w:t>
        </w:r>
      </w:hyperlink>
      <w:r>
        <w:t xml:space="preserve"> Земельного Кодекса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w:t>
      </w:r>
      <w:proofErr w:type="gramEnd"/>
      <w:r>
        <w:t xml:space="preserve">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E2972" w:rsidRPr="006627F2" w:rsidRDefault="007E2972" w:rsidP="007E2972">
      <w:pPr>
        <w:numPr>
          <w:ilvl w:val="1"/>
          <w:numId w:val="1"/>
        </w:numPr>
        <w:tabs>
          <w:tab w:val="left" w:pos="993"/>
        </w:tabs>
        <w:ind w:left="142" w:firstLine="360"/>
        <w:jc w:val="both"/>
      </w:pPr>
      <w:r w:rsidRPr="006627F2">
        <w:rPr>
          <w:b/>
        </w:rPr>
        <w:t> </w:t>
      </w:r>
      <w:r w:rsidRPr="006627F2">
        <w:t xml:space="preserve">Победитель аукциона или иное лицо, с которым заключается договор аренды земельного участка в соответствии с пунктами 13, 14 или 20 ст.39.12 Земельного кодекса Российской Федерации, обязаны подписать договор аренды земельного участка в течение </w:t>
      </w:r>
      <w:r>
        <w:t>1</w:t>
      </w:r>
      <w:r w:rsidRPr="006627F2">
        <w:t>0 (</w:t>
      </w:r>
      <w:r>
        <w:t>десяти</w:t>
      </w:r>
      <w:r w:rsidRPr="006627F2">
        <w:t>)</w:t>
      </w:r>
      <w:r>
        <w:t xml:space="preserve"> рабочих</w:t>
      </w:r>
      <w:r w:rsidRPr="006627F2">
        <w:t xml:space="preserve"> дней со дня направления ему в раздел Личный кабинет «Реестр договоров» такого договора. </w:t>
      </w:r>
    </w:p>
    <w:p w:rsidR="007E2972" w:rsidRPr="006627F2" w:rsidRDefault="007E2972" w:rsidP="007E2972">
      <w:pPr>
        <w:numPr>
          <w:ilvl w:val="1"/>
          <w:numId w:val="1"/>
        </w:numPr>
        <w:tabs>
          <w:tab w:val="left" w:pos="993"/>
        </w:tabs>
        <w:ind w:left="142" w:firstLine="360"/>
        <w:jc w:val="both"/>
      </w:pPr>
      <w:r w:rsidRPr="006627F2">
        <w:rPr>
          <w:b/>
        </w:rPr>
        <w:t> </w:t>
      </w:r>
      <w:proofErr w:type="gramStart"/>
      <w:r w:rsidRPr="006627F2">
        <w:t xml:space="preserve">Если договор аренды земельного участка в течение </w:t>
      </w:r>
      <w:r>
        <w:t>1</w:t>
      </w:r>
      <w:r w:rsidRPr="006627F2">
        <w:t>0 (</w:t>
      </w:r>
      <w:r>
        <w:t>деся</w:t>
      </w:r>
      <w:r w:rsidRPr="006627F2">
        <w:t xml:space="preserve">ти) </w:t>
      </w:r>
      <w:r>
        <w:t xml:space="preserve">рабочих </w:t>
      </w:r>
      <w:r w:rsidRPr="006627F2">
        <w:t xml:space="preserve">дней со дня направления проекта договора аренды земельного участка победителю аукциона не был им подписан в разделе Личный кабинет «Реестр договоров», Организатор аукциона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победителем аукциона. </w:t>
      </w:r>
      <w:proofErr w:type="gramEnd"/>
    </w:p>
    <w:p w:rsidR="007E2972" w:rsidRPr="006627F2" w:rsidRDefault="007E2972" w:rsidP="007E2972">
      <w:pPr>
        <w:numPr>
          <w:ilvl w:val="1"/>
          <w:numId w:val="1"/>
        </w:numPr>
        <w:tabs>
          <w:tab w:val="left" w:pos="993"/>
        </w:tabs>
        <w:ind w:left="142" w:firstLine="360"/>
        <w:jc w:val="both"/>
      </w:pPr>
      <w:r>
        <w:t xml:space="preserve"> </w:t>
      </w:r>
      <w:r w:rsidRPr="006627F2">
        <w:t>В случае</w:t>
      </w:r>
      <w:proofErr w:type="gramStart"/>
      <w:r w:rsidRPr="006627F2">
        <w:t>,</w:t>
      </w:r>
      <w:proofErr w:type="gramEnd"/>
      <w:r w:rsidRPr="006627F2">
        <w:t xml:space="preserve"> если в течение </w:t>
      </w:r>
      <w:r>
        <w:t>1</w:t>
      </w:r>
      <w:r w:rsidRPr="006627F2">
        <w:t>0 (</w:t>
      </w:r>
      <w:r>
        <w:t>деся</w:t>
      </w:r>
      <w:r w:rsidRPr="006627F2">
        <w:t>ти)</w:t>
      </w:r>
      <w:r>
        <w:t xml:space="preserve"> рабочих</w:t>
      </w:r>
      <w:r w:rsidRPr="006627F2">
        <w:t xml:space="preserve"> дней со дня направления в раздел Личный кабинет «Реестр договоров» Участнику, который сделал предпоследнее предложение о цене Предмета аукциона, проекта договора аренды земельного участка, такой Участник не подписал в разделе Личный кабинет «Реестр договоров» со своей стороны указанный договор, Организатор аукциона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w:t>
      </w:r>
    </w:p>
    <w:p w:rsidR="007E2972" w:rsidRPr="006627F2" w:rsidRDefault="007E2972" w:rsidP="007E2972">
      <w:pPr>
        <w:numPr>
          <w:ilvl w:val="1"/>
          <w:numId w:val="1"/>
        </w:numPr>
        <w:tabs>
          <w:tab w:val="left" w:pos="993"/>
        </w:tabs>
        <w:ind w:left="142" w:firstLine="360"/>
        <w:jc w:val="both"/>
      </w:pPr>
      <w:r w:rsidRPr="006627F2">
        <w:rPr>
          <w:b/>
        </w:rPr>
        <w:t>  </w:t>
      </w:r>
      <w:r w:rsidRPr="006627F2">
        <w:t>В случае</w:t>
      </w:r>
      <w:proofErr w:type="gramStart"/>
      <w:r w:rsidRPr="006627F2">
        <w:t>,</w:t>
      </w:r>
      <w:proofErr w:type="gramEnd"/>
      <w:r w:rsidRPr="006627F2">
        <w:t xml:space="preserve"> если победитель аукциона или иное лицо, с которым заключается договор аренды  земельного участка в соответствии с пунктами 13, 14 или 20 ст.39.12 Земельного кодекса Российской Федерации, в течение </w:t>
      </w:r>
      <w:r>
        <w:t>1</w:t>
      </w:r>
      <w:r w:rsidRPr="006627F2">
        <w:t>0 (</w:t>
      </w:r>
      <w:r>
        <w:t>десяти</w:t>
      </w:r>
      <w:r w:rsidRPr="006627F2">
        <w:t xml:space="preserve">) </w:t>
      </w:r>
      <w:r>
        <w:t xml:space="preserve">рабочих </w:t>
      </w:r>
      <w:r w:rsidRPr="006627F2">
        <w:t xml:space="preserve">дней со дня направления ему Организатором в раздел Личный кабинет «Реестр договоров» проекта указанного договора аренды, не подписал указанный договор, Организатор аукциона </w:t>
      </w:r>
      <w:r>
        <w:t xml:space="preserve">в течение пяти рабочих дней со дня истечения этого срока </w:t>
      </w:r>
      <w:r w:rsidRPr="006627F2">
        <w:t xml:space="preserve">направляет сведения, </w:t>
      </w:r>
      <w:r w:rsidRPr="006627F2">
        <w:lastRenderedPageBreak/>
        <w:t>предусмотренные п.29 ст.39.12 Земельного кодекса Российской Федерации, в Федеральную антимонопольную службу России для включения в реестр недобросовестных участников аукциона.</w:t>
      </w:r>
    </w:p>
    <w:p w:rsidR="007E2972" w:rsidRPr="006627F2" w:rsidRDefault="007E2972" w:rsidP="007E2972">
      <w:pPr>
        <w:tabs>
          <w:tab w:val="left" w:pos="993"/>
        </w:tabs>
        <w:ind w:left="142" w:firstLine="360"/>
        <w:jc w:val="both"/>
      </w:pPr>
    </w:p>
    <w:p w:rsidR="007E2972" w:rsidRPr="006627F2" w:rsidRDefault="007E2972" w:rsidP="007E2972">
      <w:pPr>
        <w:numPr>
          <w:ilvl w:val="0"/>
          <w:numId w:val="1"/>
        </w:numPr>
        <w:tabs>
          <w:tab w:val="left" w:pos="993"/>
        </w:tabs>
        <w:ind w:left="142" w:firstLine="360"/>
        <w:jc w:val="center"/>
        <w:rPr>
          <w:b/>
          <w:bCs/>
        </w:rPr>
      </w:pPr>
      <w:r w:rsidRPr="006627F2">
        <w:rPr>
          <w:b/>
          <w:bCs/>
        </w:rPr>
        <w:t>Порядок внесения победителем аукциона итогового размера годовой арендной платы за земельный участок.</w:t>
      </w:r>
    </w:p>
    <w:p w:rsidR="007E2972" w:rsidRPr="006627F2" w:rsidRDefault="007E2972" w:rsidP="007E2972">
      <w:pPr>
        <w:tabs>
          <w:tab w:val="left" w:pos="993"/>
        </w:tabs>
        <w:ind w:left="502"/>
        <w:rPr>
          <w:b/>
          <w:bCs/>
        </w:rPr>
      </w:pPr>
    </w:p>
    <w:p w:rsidR="007E2972" w:rsidRPr="006627F2" w:rsidRDefault="007E2972" w:rsidP="007E2972">
      <w:pPr>
        <w:tabs>
          <w:tab w:val="left" w:pos="993"/>
        </w:tabs>
        <w:ind w:left="142" w:firstLine="360"/>
        <w:jc w:val="both"/>
        <w:rPr>
          <w:bCs/>
          <w:color w:val="FF0000"/>
        </w:rPr>
      </w:pPr>
      <w:r w:rsidRPr="006627F2">
        <w:rPr>
          <w:bCs/>
        </w:rPr>
        <w:t xml:space="preserve">Победитель аукциона обязан выплатить </w:t>
      </w:r>
      <w:r w:rsidRPr="006627F2">
        <w:t>итоговый размер годовой арендной платы за земельный участок</w:t>
      </w:r>
      <w:r w:rsidRPr="006627F2">
        <w:rPr>
          <w:bCs/>
        </w:rPr>
        <w:t xml:space="preserve"> за первый год аренды (за вычетом уплаченного задатка) в течение 30 дней с момента подписания договора аренды земельного участка (реквизиты для перечисления указаны в проекте договора аренды земельного участка – Приложение № 2).</w:t>
      </w:r>
      <w:r w:rsidRPr="006627F2">
        <w:rPr>
          <w:bCs/>
          <w:color w:val="FF0000"/>
        </w:rPr>
        <w:t xml:space="preserve"> </w:t>
      </w:r>
    </w:p>
    <w:p w:rsidR="007E2972" w:rsidRPr="006627F2" w:rsidRDefault="007E2972" w:rsidP="007E2972">
      <w:pPr>
        <w:tabs>
          <w:tab w:val="left" w:pos="993"/>
        </w:tabs>
        <w:ind w:left="142" w:firstLine="360"/>
        <w:jc w:val="both"/>
        <w:rPr>
          <w:bCs/>
          <w:color w:val="FF0000"/>
        </w:rPr>
      </w:pPr>
    </w:p>
    <w:p w:rsidR="007E2972" w:rsidRPr="006627F2" w:rsidRDefault="007E2972" w:rsidP="007E2972">
      <w:pPr>
        <w:tabs>
          <w:tab w:val="left" w:pos="993"/>
        </w:tabs>
        <w:ind w:left="142" w:firstLine="360"/>
        <w:jc w:val="center"/>
        <w:rPr>
          <w:b/>
          <w:i/>
        </w:rPr>
      </w:pPr>
      <w:r w:rsidRPr="006627F2">
        <w:rPr>
          <w:b/>
        </w:rPr>
        <w:t>11. Порядок отказа от проведения аукциона</w:t>
      </w:r>
    </w:p>
    <w:p w:rsidR="007E2972" w:rsidRPr="006627F2" w:rsidRDefault="007E2972" w:rsidP="007E2972">
      <w:pPr>
        <w:shd w:val="clear" w:color="auto" w:fill="FFFFFF"/>
        <w:tabs>
          <w:tab w:val="left" w:pos="993"/>
        </w:tabs>
        <w:ind w:left="142" w:firstLine="360"/>
        <w:rPr>
          <w:b/>
        </w:rPr>
      </w:pPr>
    </w:p>
    <w:p w:rsidR="007E2972" w:rsidRPr="003B777E" w:rsidRDefault="007E2972" w:rsidP="007E2972">
      <w:pPr>
        <w:shd w:val="clear" w:color="auto" w:fill="FFFFFF"/>
        <w:tabs>
          <w:tab w:val="left" w:pos="993"/>
        </w:tabs>
        <w:ind w:left="142" w:firstLine="360"/>
        <w:jc w:val="both"/>
      </w:pPr>
      <w:r w:rsidRPr="003B777E">
        <w:t>Организатор аукциона вправе отказаться от проведения аукциона в любое время, но не позднее, чем за три дня до наступления даты его проведения.</w:t>
      </w:r>
    </w:p>
    <w:p w:rsidR="007E2972" w:rsidRPr="006627F2" w:rsidRDefault="007E2972" w:rsidP="007E2972">
      <w:pPr>
        <w:widowControl w:val="0"/>
        <w:tabs>
          <w:tab w:val="num" w:pos="0"/>
          <w:tab w:val="left" w:pos="993"/>
        </w:tabs>
        <w:ind w:left="142" w:firstLine="360"/>
        <w:jc w:val="both"/>
        <w:outlineLvl w:val="0"/>
        <w:rPr>
          <w:u w:val="single"/>
        </w:rPr>
      </w:pPr>
      <w:r w:rsidRPr="006627F2">
        <w:t xml:space="preserve">В случае отказа от проведения торгов Организатор торгов размещает соответствующее извещение на сайте </w:t>
      </w:r>
      <w:hyperlink r:id="rId18" w:history="1">
        <w:r w:rsidRPr="006627F2">
          <w:rPr>
            <w:rStyle w:val="a5"/>
            <w:rFonts w:eastAsia="Arial Unicode MS"/>
            <w:lang w:eastAsia="ar-SA"/>
          </w:rPr>
          <w:t>http://</w:t>
        </w:r>
        <w:r w:rsidRPr="006627F2">
          <w:rPr>
            <w:rStyle w:val="a5"/>
            <w:rFonts w:eastAsia="Arial Unicode MS"/>
            <w:shd w:val="clear" w:color="auto" w:fill="FFFFFF"/>
            <w:lang w:eastAsia="ar-SA"/>
          </w:rPr>
          <w:t>torgi.gov.ru</w:t>
        </w:r>
      </w:hyperlink>
      <w:r w:rsidRPr="006627F2">
        <w:t xml:space="preserve"> и на официальном сайте администрации </w:t>
      </w:r>
      <w:r>
        <w:t>муниципального</w:t>
      </w:r>
      <w:r w:rsidRPr="006627F2">
        <w:t xml:space="preserve"> округа город Шахунья Нижегородской области.</w:t>
      </w:r>
    </w:p>
    <w:p w:rsidR="007E2972" w:rsidRDefault="007E2972" w:rsidP="007E2972">
      <w:pPr>
        <w:tabs>
          <w:tab w:val="left" w:pos="993"/>
        </w:tabs>
        <w:spacing w:after="150"/>
        <w:ind w:left="142" w:firstLine="360"/>
        <w:jc w:val="both"/>
      </w:pPr>
      <w:r w:rsidRPr="006627F2">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rsidR="007E2972" w:rsidRDefault="007E2972" w:rsidP="007E2972">
      <w:pPr>
        <w:tabs>
          <w:tab w:val="left" w:pos="993"/>
        </w:tabs>
        <w:spacing w:after="150"/>
        <w:ind w:left="142" w:firstLine="360"/>
        <w:jc w:val="both"/>
      </w:pPr>
    </w:p>
    <w:p w:rsidR="007E2972" w:rsidRDefault="007E2972" w:rsidP="007E2972">
      <w:pPr>
        <w:tabs>
          <w:tab w:val="left" w:pos="993"/>
        </w:tabs>
        <w:spacing w:after="150"/>
        <w:ind w:left="142" w:firstLine="360"/>
        <w:jc w:val="both"/>
      </w:pPr>
    </w:p>
    <w:p w:rsidR="007E2972" w:rsidRDefault="007E2972" w:rsidP="007E2972">
      <w:pPr>
        <w:tabs>
          <w:tab w:val="left" w:pos="993"/>
        </w:tabs>
        <w:spacing w:after="150"/>
        <w:ind w:left="142" w:firstLine="360"/>
        <w:jc w:val="both"/>
      </w:pPr>
    </w:p>
    <w:p w:rsidR="007E2972" w:rsidRDefault="007E2972" w:rsidP="007E2972">
      <w:pPr>
        <w:tabs>
          <w:tab w:val="left" w:pos="993"/>
        </w:tabs>
        <w:spacing w:after="150"/>
        <w:ind w:left="142" w:firstLine="360"/>
        <w:jc w:val="both"/>
      </w:pPr>
    </w:p>
    <w:p w:rsidR="007E2972" w:rsidRDefault="007E2972" w:rsidP="007E2972">
      <w:pPr>
        <w:tabs>
          <w:tab w:val="left" w:pos="993"/>
        </w:tabs>
        <w:spacing w:after="150"/>
        <w:ind w:left="142" w:firstLine="360"/>
        <w:jc w:val="both"/>
      </w:pPr>
    </w:p>
    <w:p w:rsidR="009E4E7F" w:rsidRDefault="009E4E7F"/>
    <w:sectPr w:rsidR="009E4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71A96"/>
    <w:multiLevelType w:val="hybridMultilevel"/>
    <w:tmpl w:val="42B45B7E"/>
    <w:lvl w:ilvl="0" w:tplc="8BD85E18">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570ABC"/>
    <w:multiLevelType w:val="multilevel"/>
    <w:tmpl w:val="1D80FD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972"/>
    <w:rsid w:val="004B230B"/>
    <w:rsid w:val="007E2972"/>
    <w:rsid w:val="009E4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97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7E2972"/>
    <w:pPr>
      <w:keepNext/>
      <w:jc w:val="center"/>
      <w:outlineLvl w:val="2"/>
    </w:pPr>
    <w:rPr>
      <w:rFonts w:ascii="Arial" w:eastAsia="Arial Unicode MS" w:hAnsi="Arial" w:cs="Arial"/>
      <w:b/>
      <w:bCs/>
      <w:spacing w:val="-2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E2972"/>
    <w:rPr>
      <w:rFonts w:ascii="Arial" w:eastAsia="Arial Unicode MS" w:hAnsi="Arial" w:cs="Arial"/>
      <w:b/>
      <w:bCs/>
      <w:spacing w:val="-20"/>
      <w:sz w:val="40"/>
      <w:szCs w:val="40"/>
      <w:lang w:eastAsia="ru-RU"/>
    </w:rPr>
  </w:style>
  <w:style w:type="paragraph" w:styleId="a3">
    <w:name w:val="List Paragraph"/>
    <w:basedOn w:val="a"/>
    <w:link w:val="a4"/>
    <w:uiPriority w:val="99"/>
    <w:qFormat/>
    <w:rsid w:val="007E2972"/>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rsid w:val="007E2972"/>
    <w:rPr>
      <w:rFonts w:cs="Times New Roman"/>
      <w:color w:val="0000FF"/>
      <w:u w:val="single"/>
    </w:rPr>
  </w:style>
  <w:style w:type="character" w:customStyle="1" w:styleId="a4">
    <w:name w:val="Абзац списка Знак"/>
    <w:link w:val="a3"/>
    <w:uiPriority w:val="99"/>
    <w:rsid w:val="007E29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97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7E2972"/>
    <w:pPr>
      <w:keepNext/>
      <w:jc w:val="center"/>
      <w:outlineLvl w:val="2"/>
    </w:pPr>
    <w:rPr>
      <w:rFonts w:ascii="Arial" w:eastAsia="Arial Unicode MS" w:hAnsi="Arial" w:cs="Arial"/>
      <w:b/>
      <w:bCs/>
      <w:spacing w:val="-2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E2972"/>
    <w:rPr>
      <w:rFonts w:ascii="Arial" w:eastAsia="Arial Unicode MS" w:hAnsi="Arial" w:cs="Arial"/>
      <w:b/>
      <w:bCs/>
      <w:spacing w:val="-20"/>
      <w:sz w:val="40"/>
      <w:szCs w:val="40"/>
      <w:lang w:eastAsia="ru-RU"/>
    </w:rPr>
  </w:style>
  <w:style w:type="paragraph" w:styleId="a3">
    <w:name w:val="List Paragraph"/>
    <w:basedOn w:val="a"/>
    <w:link w:val="a4"/>
    <w:uiPriority w:val="99"/>
    <w:qFormat/>
    <w:rsid w:val="007E2972"/>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rsid w:val="007E2972"/>
    <w:rPr>
      <w:rFonts w:cs="Times New Roman"/>
      <w:color w:val="0000FF"/>
      <w:u w:val="single"/>
    </w:rPr>
  </w:style>
  <w:style w:type="character" w:customStyle="1" w:styleId="a4">
    <w:name w:val="Абзац списка Знак"/>
    <w:link w:val="a3"/>
    <w:uiPriority w:val="99"/>
    <w:rsid w:val="007E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brikant.ru/" TargetMode="External"/><Relationship Id="rId13" Type="http://schemas.openxmlformats.org/officeDocument/2006/relationships/hyperlink" Target="http://www.torgi.gov.ru" TargetMode="External"/><Relationship Id="rId18" Type="http://schemas.openxmlformats.org/officeDocument/2006/relationships/hyperlink" Target="http://torgi.gov.ru" TargetMode="External"/><Relationship Id="rId3" Type="http://schemas.microsoft.com/office/2007/relationships/stylesWithEffects" Target="stylesWithEffects.xml"/><Relationship Id="rId7" Type="http://schemas.openxmlformats.org/officeDocument/2006/relationships/hyperlink" Target="http://www.fabrikant.ru/" TargetMode="External"/><Relationship Id="rId12" Type="http://schemas.openxmlformats.org/officeDocument/2006/relationships/hyperlink" Target="http://www.torgi.gov.ru" TargetMode="External"/><Relationship Id="rId17" Type="http://schemas.openxmlformats.org/officeDocument/2006/relationships/hyperlink" Target="consultantplus://offline/ref=5FC53F318AF25B48C199A5BD88594C158D0DD62A9FB9C3B27A4BA5C7E827859298367983253DC703EC00EE7D576016C83F817165960434CC6FSEG" TargetMode="External"/><Relationship Id="rId2" Type="http://schemas.openxmlformats.org/officeDocument/2006/relationships/styles" Target="styles.xml"/><Relationship Id="rId16" Type="http://schemas.openxmlformats.org/officeDocument/2006/relationships/hyperlink" Target="consultantplus://offline/ref=5FC53F318AF25B48C199A5BD88594C158D0DD62A9FB9C3B27A4BA5C7E827859298367985253ECE54BF4FEF21113705CA3E8173668A60S5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umishah@yandex.ru" TargetMode="External"/><Relationship Id="rId11" Type="http://schemas.openxmlformats.org/officeDocument/2006/relationships/hyperlink" Target="http://www.fabrikant.ru" TargetMode="External"/><Relationship Id="rId5" Type="http://schemas.openxmlformats.org/officeDocument/2006/relationships/webSettings" Target="webSettings.xml"/><Relationship Id="rId15" Type="http://schemas.openxmlformats.org/officeDocument/2006/relationships/hyperlink" Target="consultantplus://offline/ref=5FC53F318AF25B48C199A5BD88594C158D0DD62A9FB9C3B27A4BA5C7E8278592983679842C3CCE54BF4FEF21113705CA3E8173668A60S5G"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brikant.ru/" TargetMode="External"/><Relationship Id="rId14" Type="http://schemas.openxmlformats.org/officeDocument/2006/relationships/hyperlink" Target="consultantplus://offline/ref=5FC53F318AF25B48C199A5BD88594C158D0DD62A9FB9C3B27A4BA5C7E8278592983679842D35CE54BF4FEF21113705CA3E8173668A60S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5333</Words>
  <Characters>30404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2026-05-01T06:29:00Z</dcterms:created>
  <dcterms:modified xsi:type="dcterms:W3CDTF">2026-05-01T07:29:00Z</dcterms:modified>
</cp:coreProperties>
</file>